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54A71" w14:textId="77777777" w:rsidR="00AD31A4" w:rsidRDefault="00AD31A4" w:rsidP="00EB3DF5"/>
    <w:p w14:paraId="42B587C0" w14:textId="77777777" w:rsidR="00AD31A4" w:rsidRDefault="00AD31A4" w:rsidP="00EB3DF5">
      <w:pPr>
        <w:rPr>
          <w:sz w:val="36"/>
          <w:szCs w:val="36"/>
        </w:rPr>
      </w:pPr>
      <w:bookmarkStart w:id="0" w:name="OLE_LINK1"/>
    </w:p>
    <w:p w14:paraId="49259B27" w14:textId="77777777" w:rsidR="00AD31A4" w:rsidRDefault="003012DD" w:rsidP="00D72F2E">
      <w:pPr>
        <w:jc w:val="center"/>
        <w:rPr>
          <w:sz w:val="36"/>
          <w:szCs w:val="36"/>
        </w:rPr>
      </w:pPr>
      <w:r>
        <w:rPr>
          <w:b/>
          <w:bCs/>
          <w:noProof/>
          <w:sz w:val="32"/>
          <w:szCs w:val="32"/>
          <w:lang w:val="de-AT" w:eastAsia="de-AT"/>
        </w:rPr>
        <w:drawing>
          <wp:inline distT="0" distB="0" distL="0" distR="0" wp14:anchorId="27B002F3" wp14:editId="266DE10C">
            <wp:extent cx="1171575" cy="428625"/>
            <wp:effectExtent l="0" t="0" r="9525" b="9525"/>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428625"/>
                    </a:xfrm>
                    <a:prstGeom prst="rect">
                      <a:avLst/>
                    </a:prstGeom>
                    <a:noFill/>
                    <a:ln>
                      <a:noFill/>
                    </a:ln>
                  </pic:spPr>
                </pic:pic>
              </a:graphicData>
            </a:graphic>
          </wp:inline>
        </w:drawing>
      </w:r>
    </w:p>
    <w:p w14:paraId="42BE0F2B" w14:textId="77777777" w:rsidR="0002696A" w:rsidRDefault="0002696A" w:rsidP="00EB3DF5">
      <w:pPr>
        <w:rPr>
          <w:sz w:val="36"/>
          <w:szCs w:val="36"/>
        </w:rPr>
      </w:pPr>
    </w:p>
    <w:p w14:paraId="1058C2F6" w14:textId="77777777" w:rsidR="0002696A" w:rsidRDefault="0002696A" w:rsidP="00EB3DF5">
      <w:pPr>
        <w:rPr>
          <w:sz w:val="36"/>
          <w:szCs w:val="36"/>
        </w:rPr>
      </w:pPr>
    </w:p>
    <w:p w14:paraId="383BFEC8" w14:textId="77777777" w:rsidR="00AD31A4" w:rsidRDefault="00AD31A4" w:rsidP="00D72F2E">
      <w:pPr>
        <w:jc w:val="center"/>
        <w:rPr>
          <w:sz w:val="36"/>
          <w:szCs w:val="36"/>
        </w:rPr>
      </w:pPr>
    </w:p>
    <w:p w14:paraId="70AA06F6" w14:textId="46221B87" w:rsidR="00AD31A4" w:rsidRDefault="00AD31A4" w:rsidP="00D72F2E">
      <w:pPr>
        <w:jc w:val="center"/>
        <w:rPr>
          <w:sz w:val="36"/>
          <w:szCs w:val="36"/>
        </w:rPr>
      </w:pPr>
      <w:r w:rsidRPr="00AB75B4">
        <w:rPr>
          <w:sz w:val="36"/>
          <w:szCs w:val="36"/>
        </w:rPr>
        <w:t>Universitätskurs</w:t>
      </w:r>
    </w:p>
    <w:p w14:paraId="2586F352" w14:textId="77777777" w:rsidR="00007EB1" w:rsidRPr="00AB75B4" w:rsidRDefault="00007EB1" w:rsidP="00D72F2E">
      <w:pPr>
        <w:jc w:val="center"/>
        <w:rPr>
          <w:sz w:val="36"/>
          <w:szCs w:val="36"/>
        </w:rPr>
      </w:pPr>
    </w:p>
    <w:p w14:paraId="45D9F012" w14:textId="4682DCAA" w:rsidR="00AD31A4" w:rsidRDefault="00B11DBE" w:rsidP="00D72F2E">
      <w:pPr>
        <w:jc w:val="center"/>
        <w:rPr>
          <w:sz w:val="36"/>
          <w:szCs w:val="36"/>
        </w:rPr>
      </w:pPr>
      <w:r>
        <w:rPr>
          <w:sz w:val="36"/>
          <w:szCs w:val="36"/>
        </w:rPr>
        <w:t>Grundlagen Holzbau</w:t>
      </w:r>
    </w:p>
    <w:p w14:paraId="2558437F" w14:textId="77777777" w:rsidR="00007EB1" w:rsidRDefault="00007EB1" w:rsidP="00D72F2E">
      <w:pPr>
        <w:jc w:val="center"/>
        <w:rPr>
          <w:sz w:val="36"/>
          <w:szCs w:val="36"/>
        </w:rPr>
      </w:pPr>
    </w:p>
    <w:p w14:paraId="33688B0A" w14:textId="77777777" w:rsidR="00AD31A4" w:rsidRPr="00AB75B4" w:rsidRDefault="00AD31A4" w:rsidP="00D72F2E">
      <w:pPr>
        <w:jc w:val="center"/>
        <w:rPr>
          <w:sz w:val="36"/>
          <w:szCs w:val="36"/>
        </w:rPr>
      </w:pPr>
      <w:r>
        <w:rPr>
          <w:sz w:val="36"/>
          <w:szCs w:val="36"/>
        </w:rPr>
        <w:t>a</w:t>
      </w:r>
      <w:r w:rsidRPr="00AB75B4">
        <w:rPr>
          <w:sz w:val="36"/>
          <w:szCs w:val="36"/>
        </w:rPr>
        <w:t>n der</w:t>
      </w:r>
    </w:p>
    <w:p w14:paraId="4CAABE79" w14:textId="77777777" w:rsidR="00AD31A4" w:rsidRDefault="00AD31A4" w:rsidP="00D72F2E">
      <w:pPr>
        <w:jc w:val="center"/>
        <w:rPr>
          <w:sz w:val="36"/>
          <w:szCs w:val="36"/>
        </w:rPr>
      </w:pPr>
      <w:r w:rsidRPr="00AB75B4">
        <w:rPr>
          <w:sz w:val="36"/>
          <w:szCs w:val="36"/>
        </w:rPr>
        <w:t>Technischen Universität Graz</w:t>
      </w:r>
    </w:p>
    <w:bookmarkEnd w:id="0"/>
    <w:p w14:paraId="5E6F4A55" w14:textId="45314C22" w:rsidR="00007EB1" w:rsidRDefault="00007EB1" w:rsidP="00007EB1">
      <w:pPr>
        <w:jc w:val="center"/>
        <w:rPr>
          <w:sz w:val="28"/>
          <w:szCs w:val="28"/>
        </w:rPr>
      </w:pPr>
      <w:r>
        <w:rPr>
          <w:sz w:val="28"/>
          <w:szCs w:val="28"/>
        </w:rPr>
        <w:br w:type="page"/>
      </w:r>
    </w:p>
    <w:p w14:paraId="3D78DACA" w14:textId="793FDC19" w:rsidR="00681E2E" w:rsidRPr="00007EB1" w:rsidRDefault="00AD31A4" w:rsidP="00EB3DF5">
      <w:pPr>
        <w:rPr>
          <w:b/>
          <w:bCs/>
        </w:rPr>
      </w:pPr>
      <w:r w:rsidRPr="00007EB1">
        <w:rPr>
          <w:b/>
          <w:bCs/>
        </w:rPr>
        <w:lastRenderedPageBreak/>
        <w:t>§ 1</w:t>
      </w:r>
      <w:r w:rsidRPr="00007EB1">
        <w:rPr>
          <w:b/>
          <w:bCs/>
        </w:rPr>
        <w:tab/>
        <w:t>Qualifikationsprofil</w:t>
      </w:r>
    </w:p>
    <w:p w14:paraId="606E5F28" w14:textId="77777777" w:rsidR="00AD31A4" w:rsidRPr="00007EB1" w:rsidRDefault="00AD31A4" w:rsidP="00EB3DF5"/>
    <w:p w14:paraId="05457154" w14:textId="77777777" w:rsidR="00773A13" w:rsidRPr="00007EB1" w:rsidRDefault="00AD31A4" w:rsidP="00EB3DF5">
      <w:pPr>
        <w:pStyle w:val="Listenabsatz"/>
        <w:numPr>
          <w:ilvl w:val="0"/>
          <w:numId w:val="7"/>
        </w:numPr>
        <w:ind w:left="709"/>
      </w:pPr>
      <w:r w:rsidRPr="00007EB1">
        <w:t>Ziele des Universitätskurses</w:t>
      </w:r>
    </w:p>
    <w:p w14:paraId="5419574A" w14:textId="13BCE7F7" w:rsidR="00AF3C70" w:rsidRPr="00007EB1" w:rsidRDefault="00AF3C70" w:rsidP="00007EB1">
      <w:pPr>
        <w:jc w:val="both"/>
      </w:pPr>
    </w:p>
    <w:p w14:paraId="7156D7AF" w14:textId="0447A698" w:rsidR="0037697C" w:rsidRPr="00007EB1" w:rsidRDefault="00836E4E" w:rsidP="00007EB1">
      <w:pPr>
        <w:jc w:val="both"/>
      </w:pPr>
      <w:r w:rsidRPr="00007EB1">
        <w:t>Die moderne Holzbauwirtschaft befindet sich als relativ junge Bau</w:t>
      </w:r>
      <w:r w:rsidR="00036DD3" w:rsidRPr="00007EB1">
        <w:t>disziplin</w:t>
      </w:r>
      <w:r w:rsidRPr="00007EB1">
        <w:t xml:space="preserve"> in einer starken Wachstumsphase, einhergehend unterliegt sie durch neu erlangte Erkenntnisse und technische Entwicklungen einem stetigen Wandel. </w:t>
      </w:r>
      <w:r w:rsidR="001B3A3E" w:rsidRPr="00007EB1">
        <w:t>Das Holzbau</w:t>
      </w:r>
      <w:r w:rsidR="00CD5DE4" w:rsidRPr="00007EB1">
        <w:t>fach</w:t>
      </w:r>
      <w:r w:rsidR="001B3A3E" w:rsidRPr="00007EB1">
        <w:t>wissen innerhalb der Dachregion (D, A, CH), beginnen</w:t>
      </w:r>
      <w:r w:rsidR="008560FA" w:rsidRPr="00007EB1">
        <w:t>d</w:t>
      </w:r>
      <w:r w:rsidR="001B3A3E" w:rsidRPr="00007EB1">
        <w:t xml:space="preserve"> mit den kompetenten Fachfirmen bis zu den hochkarätigen Wissenschaftseinrichtungen, </w:t>
      </w:r>
      <w:r w:rsidR="0037697C" w:rsidRPr="00007EB1">
        <w:t>befindet sich auf sehr hohem Niveau</w:t>
      </w:r>
      <w:r w:rsidR="008A7329" w:rsidRPr="00007EB1">
        <w:t xml:space="preserve">. Besonders auch steirische </w:t>
      </w:r>
      <w:r w:rsidR="00007EB1">
        <w:t>F</w:t>
      </w:r>
      <w:r w:rsidR="00E445A1" w:rsidRPr="00007EB1">
        <w:t>achkundige und Spezialist</w:t>
      </w:r>
      <w:r w:rsidR="007874B8" w:rsidRPr="00007EB1">
        <w:t>*inn</w:t>
      </w:r>
      <w:r w:rsidR="00E445A1" w:rsidRPr="00007EB1">
        <w:t xml:space="preserve">en können </w:t>
      </w:r>
      <w:r w:rsidR="008A7329" w:rsidRPr="00007EB1">
        <w:t>in diese</w:t>
      </w:r>
      <w:r w:rsidR="00E445A1" w:rsidRPr="00007EB1">
        <w:t>r</w:t>
      </w:r>
      <w:r w:rsidR="008A7329" w:rsidRPr="00007EB1">
        <w:t xml:space="preserve"> Richtung enorm viel bieten</w:t>
      </w:r>
      <w:r w:rsidR="00E445A1" w:rsidRPr="00007EB1">
        <w:t xml:space="preserve">, die Wertschöpfungskette </w:t>
      </w:r>
      <w:r w:rsidR="00B34820" w:rsidRPr="00007EB1">
        <w:t xml:space="preserve">um den Baustoff </w:t>
      </w:r>
      <w:r w:rsidR="00E445A1" w:rsidRPr="00007EB1">
        <w:t xml:space="preserve">Holz </w:t>
      </w:r>
      <w:r w:rsidR="00036DD3" w:rsidRPr="00007EB1">
        <w:t xml:space="preserve">stellt </w:t>
      </w:r>
      <w:r w:rsidR="00CD5DE4" w:rsidRPr="00007EB1">
        <w:t xml:space="preserve">hier </w:t>
      </w:r>
      <w:r w:rsidR="00E445A1" w:rsidRPr="00007EB1">
        <w:t>einen starken Wirtschaftszweig dar</w:t>
      </w:r>
      <w:r w:rsidR="00036DD3" w:rsidRPr="00007EB1">
        <w:t>.</w:t>
      </w:r>
    </w:p>
    <w:p w14:paraId="4AA78AB2" w14:textId="77777777" w:rsidR="00E445A1" w:rsidRPr="00007EB1" w:rsidRDefault="00E445A1" w:rsidP="00007EB1">
      <w:pPr>
        <w:jc w:val="both"/>
      </w:pPr>
    </w:p>
    <w:p w14:paraId="298DBE8D" w14:textId="77777777" w:rsidR="008560FA" w:rsidRPr="00007EB1" w:rsidRDefault="001B3A3E" w:rsidP="00007EB1">
      <w:pPr>
        <w:jc w:val="both"/>
      </w:pPr>
      <w:r w:rsidRPr="00007EB1">
        <w:t>Der breiten Masse der Beteiligten in der Bauwirtschaf</w:t>
      </w:r>
      <w:r w:rsidR="00743DCA" w:rsidRPr="00007EB1">
        <w:t>t (Ausführende und Planer*innen</w:t>
      </w:r>
      <w:r w:rsidRPr="00007EB1">
        <w:t xml:space="preserve">) fehlt jedoch das Wissen um den Umgang mit </w:t>
      </w:r>
      <w:r w:rsidR="0037697C" w:rsidRPr="00007EB1">
        <w:t xml:space="preserve">Holz als Konstruktionswerkstoff, was auf die </w:t>
      </w:r>
      <w:r w:rsidRPr="00007EB1">
        <w:t>jahrzehntelange Konzentration auf mineralische Bauweisen</w:t>
      </w:r>
      <w:r w:rsidR="0037697C" w:rsidRPr="00007EB1">
        <w:t xml:space="preserve"> zurückzuführen ist</w:t>
      </w:r>
      <w:r w:rsidR="008560FA" w:rsidRPr="00007EB1">
        <w:t xml:space="preserve"> bzw. auf den raschen Fortschritt neuer Technologien.</w:t>
      </w:r>
    </w:p>
    <w:p w14:paraId="0936CB9F" w14:textId="77777777" w:rsidR="008560FA" w:rsidRPr="00007EB1" w:rsidRDefault="008560FA" w:rsidP="00007EB1">
      <w:pPr>
        <w:jc w:val="both"/>
      </w:pPr>
    </w:p>
    <w:p w14:paraId="1A96B307" w14:textId="5A12C830" w:rsidR="00E445A1" w:rsidRPr="00007EB1" w:rsidRDefault="008A7329" w:rsidP="00007EB1">
      <w:pPr>
        <w:jc w:val="both"/>
      </w:pPr>
      <w:r w:rsidRPr="00007EB1">
        <w:t xml:space="preserve">Die dadurch entstehende </w:t>
      </w:r>
      <w:r w:rsidR="00A257A4" w:rsidRPr="00007EB1">
        <w:t>Lücke</w:t>
      </w:r>
      <w:r w:rsidRPr="00007EB1">
        <w:t xml:space="preserve"> zwischen </w:t>
      </w:r>
      <w:r w:rsidR="00E445A1" w:rsidRPr="00007EB1">
        <w:t xml:space="preserve">mangelndem </w:t>
      </w:r>
      <w:r w:rsidRPr="00007EB1">
        <w:t xml:space="preserve">Angebot an qualifizierten </w:t>
      </w:r>
      <w:r w:rsidR="00AC23BA" w:rsidRPr="00007EB1">
        <w:t>Holzbauplan</w:t>
      </w:r>
      <w:r w:rsidR="003A16B9">
        <w:t>er*</w:t>
      </w:r>
      <w:proofErr w:type="spellStart"/>
      <w:r w:rsidR="003A16B9">
        <w:t>innen</w:t>
      </w:r>
      <w:r w:rsidR="00AC23BA" w:rsidRPr="00007EB1">
        <w:t>leistungen</w:t>
      </w:r>
      <w:proofErr w:type="spellEnd"/>
      <w:r w:rsidR="00AC23BA" w:rsidRPr="00007EB1">
        <w:t xml:space="preserve"> bzw</w:t>
      </w:r>
      <w:r w:rsidRPr="00007EB1">
        <w:t>. Holzbauausführenden und de</w:t>
      </w:r>
      <w:r w:rsidR="00E445A1" w:rsidRPr="00007EB1">
        <w:t>r</w:t>
      </w:r>
      <w:r w:rsidRPr="00007EB1">
        <w:t xml:space="preserve"> allgemeinen Notwendigkeit in der Bauwirtschaft ökologischer bzw. umweltschonender zu </w:t>
      </w:r>
      <w:r w:rsidR="00E445A1" w:rsidRPr="00007EB1">
        <w:t>bauen</w:t>
      </w:r>
      <w:r w:rsidR="007874B8" w:rsidRPr="00007EB1">
        <w:t>,</w:t>
      </w:r>
      <w:r w:rsidR="00E445A1" w:rsidRPr="00007EB1">
        <w:t xml:space="preserve"> beeinflusst den Markt: </w:t>
      </w:r>
    </w:p>
    <w:p w14:paraId="5F892257" w14:textId="1D96CFAD" w:rsidR="00292BE0" w:rsidRPr="00007EB1" w:rsidRDefault="00E445A1" w:rsidP="003A16B9">
      <w:pPr>
        <w:pStyle w:val="Listenabsatz"/>
        <w:numPr>
          <w:ilvl w:val="0"/>
          <w:numId w:val="21"/>
        </w:numPr>
        <w:ind w:left="720"/>
        <w:jc w:val="both"/>
      </w:pPr>
      <w:r w:rsidRPr="00007EB1">
        <w:t>Durch den rasanten Entwicklungsfortschritt der Branche werden teilweise noch immer Holzbauprojekte durchgeführt</w:t>
      </w:r>
      <w:r w:rsidR="003A16B9">
        <w:t>,</w:t>
      </w:r>
      <w:r w:rsidRPr="00007EB1">
        <w:t xml:space="preserve"> die nicht dem Stand des </w:t>
      </w:r>
      <w:r w:rsidR="00C2498B" w:rsidRPr="00007EB1">
        <w:t>aktuellen</w:t>
      </w:r>
      <w:r w:rsidRPr="00007EB1">
        <w:t xml:space="preserve"> Fachniveaus entsprechen. </w:t>
      </w:r>
      <w:r w:rsidR="00C2498B" w:rsidRPr="00007EB1">
        <w:t xml:space="preserve">Wenn Gebäude den technischen Anforderungen nicht </w:t>
      </w:r>
      <w:r w:rsidR="006C25DB" w:rsidRPr="00007EB1">
        <w:t xml:space="preserve">gerecht werden </w:t>
      </w:r>
      <w:r w:rsidR="00C2498B" w:rsidRPr="00007EB1">
        <w:t xml:space="preserve">und die erwartete Robustheit </w:t>
      </w:r>
      <w:r w:rsidR="00B34820" w:rsidRPr="00007EB1">
        <w:t xml:space="preserve">und Dauerhaftigkeit </w:t>
      </w:r>
      <w:r w:rsidR="00C2498B" w:rsidRPr="00007EB1">
        <w:t xml:space="preserve">der Konstruktion nicht vorhanden ist, schadet dieser Umstand </w:t>
      </w:r>
      <w:r w:rsidR="006C25DB" w:rsidRPr="00007EB1">
        <w:t xml:space="preserve">dem Ruf der </w:t>
      </w:r>
      <w:r w:rsidR="00C2498B" w:rsidRPr="00007EB1">
        <w:t>Bauweise bzw. de</w:t>
      </w:r>
      <w:r w:rsidR="006C25DB" w:rsidRPr="00007EB1">
        <w:t>s</w:t>
      </w:r>
      <w:r w:rsidR="00C2498B" w:rsidRPr="00007EB1">
        <w:t xml:space="preserve"> Baumaterial</w:t>
      </w:r>
      <w:r w:rsidR="006C25DB" w:rsidRPr="00007EB1">
        <w:t>s</w:t>
      </w:r>
      <w:r w:rsidR="00C2498B" w:rsidRPr="00007EB1">
        <w:t xml:space="preserve"> im großen Ausmaß.</w:t>
      </w:r>
    </w:p>
    <w:p w14:paraId="7FF13D0C" w14:textId="25545B5D" w:rsidR="00726C43" w:rsidRPr="00007EB1" w:rsidRDefault="00726C43" w:rsidP="003A16B9">
      <w:pPr>
        <w:pStyle w:val="Listenabsatz"/>
        <w:numPr>
          <w:ilvl w:val="0"/>
          <w:numId w:val="21"/>
        </w:numPr>
        <w:ind w:left="720"/>
        <w:jc w:val="both"/>
      </w:pPr>
      <w:r w:rsidRPr="00007EB1">
        <w:t>Holzarchitektur kann teilweise in ökonomischer Hinsicht nicht den mineralischen Bauten k</w:t>
      </w:r>
      <w:r w:rsidR="00C2498B" w:rsidRPr="00007EB1">
        <w:t xml:space="preserve">onkurrieren, was </w:t>
      </w:r>
      <w:r w:rsidR="00AC23BA" w:rsidRPr="00007EB1">
        <w:t>häufig a</w:t>
      </w:r>
      <w:r w:rsidR="00C2498B" w:rsidRPr="00007EB1">
        <w:t>uf mangelnde Fachk</w:t>
      </w:r>
      <w:r w:rsidRPr="00007EB1">
        <w:t>ompetenz</w:t>
      </w:r>
      <w:r w:rsidR="00C2498B" w:rsidRPr="00007EB1">
        <w:t xml:space="preserve"> in Planung und Ausführung </w:t>
      </w:r>
      <w:r w:rsidRPr="00007EB1">
        <w:t>zurückzuführen ist</w:t>
      </w:r>
      <w:r w:rsidR="00C2498B" w:rsidRPr="00007EB1">
        <w:t xml:space="preserve">. Inkorrekte Vergleiche der </w:t>
      </w:r>
      <w:r w:rsidR="006C25DB" w:rsidRPr="00007EB1">
        <w:t xml:space="preserve">unterschiedlichen </w:t>
      </w:r>
      <w:r w:rsidR="00C2498B" w:rsidRPr="00007EB1">
        <w:t>Bauweisen verzerren die ermittelten Kosten</w:t>
      </w:r>
      <w:r w:rsidRPr="00007EB1">
        <w:t>. Der Einsatz von Holzarchitektur wird dadurch gehemmt.</w:t>
      </w:r>
    </w:p>
    <w:p w14:paraId="53AF2050" w14:textId="32D29EA1" w:rsidR="00726C43" w:rsidRPr="00007EB1" w:rsidRDefault="00726C43" w:rsidP="003A16B9">
      <w:pPr>
        <w:pStyle w:val="Listenabsatz"/>
        <w:numPr>
          <w:ilvl w:val="0"/>
          <w:numId w:val="21"/>
        </w:numPr>
        <w:ind w:left="720"/>
        <w:jc w:val="both"/>
      </w:pPr>
      <w:r w:rsidRPr="00007EB1">
        <w:t xml:space="preserve">Der Planungsablauf der Fachbeteiligten besitzt durch die Notwendigkeiten der Vorfertigung einen geänderten Ablauf gegenüber den mineralischen Bauweisen. </w:t>
      </w:r>
      <w:r w:rsidR="006F6BD2" w:rsidRPr="00007EB1">
        <w:t xml:space="preserve">Dieser Umstand lässt bei Quereinsteiger*innen in die Disziplin Unsicherheit und einen </w:t>
      </w:r>
      <w:r w:rsidRPr="00007EB1">
        <w:t xml:space="preserve">erhöhten Planungsaufwand </w:t>
      </w:r>
      <w:r w:rsidR="006F6BD2" w:rsidRPr="00007EB1">
        <w:t xml:space="preserve">entstehen. </w:t>
      </w:r>
    </w:p>
    <w:p w14:paraId="4C70B0AA" w14:textId="77777777" w:rsidR="007B6B5B" w:rsidRPr="003A16B9" w:rsidRDefault="007B6B5B" w:rsidP="003A16B9">
      <w:pPr>
        <w:ind w:left="360"/>
        <w:jc w:val="both"/>
      </w:pPr>
    </w:p>
    <w:p w14:paraId="50A677E7" w14:textId="7C948ECB" w:rsidR="008A7329" w:rsidRPr="003A16B9" w:rsidRDefault="00292BE0" w:rsidP="003A16B9">
      <w:pPr>
        <w:jc w:val="both"/>
      </w:pPr>
      <w:r w:rsidRPr="003A16B9">
        <w:t>Um der allgemein bekannten umwelttechnischen Forderungen an die Bauwirtschaft und damit auch der Nachfrage nach dem Holzbau zu entsprechen</w:t>
      </w:r>
      <w:r w:rsidR="007874B8" w:rsidRPr="003A16B9">
        <w:t>,</w:t>
      </w:r>
      <w:r w:rsidRPr="003A16B9">
        <w:t xml:space="preserve"> bedarf es einem breiten Angebot an Aus- und Weiterbildungen zu diesem Thema.</w:t>
      </w:r>
      <w:r w:rsidR="00B87462" w:rsidRPr="003A16B9">
        <w:t xml:space="preserve"> </w:t>
      </w:r>
      <w:r w:rsidR="0037697C" w:rsidRPr="003A16B9">
        <w:t>In den letzten Jahren wurde</w:t>
      </w:r>
      <w:r w:rsidR="008A7329" w:rsidRPr="003A16B9">
        <w:t xml:space="preserve"> </w:t>
      </w:r>
      <w:r w:rsidR="007874B8" w:rsidRPr="003A16B9">
        <w:t>b</w:t>
      </w:r>
      <w:r w:rsidR="008A7329" w:rsidRPr="003A16B9">
        <w:t xml:space="preserve">egonnen die Ausbildung für </w:t>
      </w:r>
      <w:r w:rsidR="00EB3DF5" w:rsidRPr="003A16B9">
        <w:t>Architekturs</w:t>
      </w:r>
      <w:r w:rsidR="008A7329" w:rsidRPr="003A16B9">
        <w:t xml:space="preserve">tudierende </w:t>
      </w:r>
      <w:r w:rsidR="0037697C" w:rsidRPr="003A16B9">
        <w:t xml:space="preserve">in diesem </w:t>
      </w:r>
      <w:r w:rsidR="008A7329" w:rsidRPr="003A16B9">
        <w:t xml:space="preserve">spezialisierten </w:t>
      </w:r>
      <w:r w:rsidR="0037697C" w:rsidRPr="003A16B9">
        <w:t xml:space="preserve">Bereich </w:t>
      </w:r>
      <w:r w:rsidR="0001385A">
        <w:t xml:space="preserve">an der TU Graz </w:t>
      </w:r>
      <w:r w:rsidR="008A7329" w:rsidRPr="003A16B9">
        <w:t xml:space="preserve">auszubauen. </w:t>
      </w:r>
    </w:p>
    <w:p w14:paraId="6882F482" w14:textId="18172A46" w:rsidR="001B3A3E" w:rsidRPr="003A16B9" w:rsidRDefault="008A7329" w:rsidP="003A16B9">
      <w:pPr>
        <w:jc w:val="both"/>
      </w:pPr>
      <w:r w:rsidRPr="003A16B9">
        <w:t>Aber v</w:t>
      </w:r>
      <w:r w:rsidR="00292BE0" w:rsidRPr="003A16B9">
        <w:t>or allem de</w:t>
      </w:r>
      <w:r w:rsidR="00B81FBD" w:rsidRPr="003A16B9">
        <w:t>n</w:t>
      </w:r>
      <w:r w:rsidR="00292BE0" w:rsidRPr="003A16B9">
        <w:t xml:space="preserve"> hochqualifizierten Bauwirtschaftsteilnehmer*innen fehlen die Möglichkeiten </w:t>
      </w:r>
      <w:r w:rsidR="00B81FBD" w:rsidRPr="003A16B9">
        <w:t>ihr Wissen</w:t>
      </w:r>
      <w:r w:rsidR="00292BE0" w:rsidRPr="003A16B9">
        <w:t xml:space="preserve"> </w:t>
      </w:r>
      <w:r w:rsidR="00B81FBD" w:rsidRPr="003A16B9">
        <w:t xml:space="preserve">in Richtung </w:t>
      </w:r>
      <w:r w:rsidR="00292BE0" w:rsidRPr="003A16B9">
        <w:t>Holz</w:t>
      </w:r>
      <w:r w:rsidR="00484DD1" w:rsidRPr="003A16B9">
        <w:t>bau</w:t>
      </w:r>
      <w:r w:rsidR="00292BE0" w:rsidRPr="003A16B9">
        <w:t xml:space="preserve"> </w:t>
      </w:r>
      <w:r w:rsidR="00B81FBD" w:rsidRPr="003A16B9">
        <w:t xml:space="preserve">fachkundig und </w:t>
      </w:r>
      <w:r w:rsidR="00292BE0" w:rsidRPr="003A16B9">
        <w:t>berufsbegleitend</w:t>
      </w:r>
      <w:r w:rsidR="00B81FBD" w:rsidRPr="003A16B9">
        <w:t xml:space="preserve"> zu erweitern.</w:t>
      </w:r>
    </w:p>
    <w:p w14:paraId="7F503A0A" w14:textId="77777777" w:rsidR="006F6BD2" w:rsidRPr="003A16B9" w:rsidRDefault="006F6BD2" w:rsidP="003A16B9">
      <w:pPr>
        <w:jc w:val="both"/>
      </w:pPr>
    </w:p>
    <w:p w14:paraId="4D3795FF" w14:textId="2611249D" w:rsidR="00EB3DF5" w:rsidRPr="003A16B9" w:rsidRDefault="006F6BD2" w:rsidP="003A16B9">
      <w:pPr>
        <w:jc w:val="both"/>
      </w:pPr>
      <w:r w:rsidRPr="003A16B9">
        <w:t>Um de</w:t>
      </w:r>
      <w:r w:rsidR="006E4F15" w:rsidRPr="003A16B9">
        <w:t>m</w:t>
      </w:r>
      <w:r w:rsidRPr="003A16B9">
        <w:t xml:space="preserve"> Mangel an Planer*innen mit profunde</w:t>
      </w:r>
      <w:r w:rsidR="006E4F15" w:rsidRPr="003A16B9">
        <w:t>m</w:t>
      </w:r>
      <w:r w:rsidRPr="003A16B9">
        <w:t xml:space="preserve"> Holzbauwissen entgegenzuwirken, soll der Universitätskurs die bereits</w:t>
      </w:r>
      <w:r w:rsidR="00484DD1" w:rsidRPr="003A16B9">
        <w:t xml:space="preserve"> bestehenden</w:t>
      </w:r>
      <w:r w:rsidRPr="003A16B9">
        <w:t xml:space="preserve"> berufsbegleitenden akademischen Weiterbildungsangebote der TU</w:t>
      </w:r>
      <w:r w:rsidR="002260CE" w:rsidRPr="003A16B9">
        <w:t xml:space="preserve"> </w:t>
      </w:r>
      <w:r w:rsidRPr="003A16B9">
        <w:t>Graz, mit dem Fokus auf Holz</w:t>
      </w:r>
      <w:r w:rsidR="00484DD1" w:rsidRPr="003A16B9">
        <w:t>bau</w:t>
      </w:r>
      <w:r w:rsidRPr="003A16B9">
        <w:t xml:space="preserve">, erweitern. </w:t>
      </w:r>
    </w:p>
    <w:p w14:paraId="70A72B38" w14:textId="6A37022C" w:rsidR="001A7030" w:rsidRPr="003A16B9" w:rsidRDefault="006F6BD2" w:rsidP="003A16B9">
      <w:pPr>
        <w:jc w:val="both"/>
      </w:pPr>
      <w:r w:rsidRPr="003A16B9">
        <w:t xml:space="preserve">Der </w:t>
      </w:r>
      <w:r w:rsidR="00484DD1" w:rsidRPr="003A16B9">
        <w:t xml:space="preserve">Universitätskurs </w:t>
      </w:r>
      <w:r w:rsidR="00EB3DF5" w:rsidRPr="003A16B9">
        <w:t>„</w:t>
      </w:r>
      <w:r w:rsidR="00484DD1" w:rsidRPr="003A16B9">
        <w:t>Grundlagen Holzbau</w:t>
      </w:r>
      <w:r w:rsidR="00EB3DF5" w:rsidRPr="003A16B9">
        <w:t>“</w:t>
      </w:r>
      <w:r w:rsidRPr="003A16B9">
        <w:t xml:space="preserve"> setzt genau hier an. Er umfass</w:t>
      </w:r>
      <w:r w:rsidR="00EB3DF5" w:rsidRPr="003A16B9">
        <w:t>t</w:t>
      </w:r>
      <w:r w:rsidRPr="003A16B9">
        <w:t xml:space="preserve"> 15 ECTS und beinhaltet Themen der Holzbauwirtschaft</w:t>
      </w:r>
      <w:r w:rsidR="0001385A">
        <w:t>,</w:t>
      </w:r>
      <w:r w:rsidRPr="003A16B9">
        <w:t xml:space="preserve"> die auf das Wissen der </w:t>
      </w:r>
      <w:r w:rsidR="00A61E5E" w:rsidRPr="003A16B9">
        <w:t xml:space="preserve">universitären Studienausbildungen </w:t>
      </w:r>
      <w:r w:rsidRPr="003A16B9">
        <w:t xml:space="preserve">Architektur und Bauingenieurwissenschaften aufbauen. </w:t>
      </w:r>
    </w:p>
    <w:p w14:paraId="3ABA7F2F" w14:textId="77777777" w:rsidR="003A16B9" w:rsidRPr="003A16B9" w:rsidRDefault="003A16B9" w:rsidP="00EB3DF5"/>
    <w:p w14:paraId="7F9EFADB" w14:textId="1FADF0D6" w:rsidR="00932C56" w:rsidRPr="00007EB1" w:rsidRDefault="00A6122C" w:rsidP="0001385A">
      <w:pPr>
        <w:jc w:val="both"/>
      </w:pPr>
      <w:r w:rsidRPr="00007EB1">
        <w:t xml:space="preserve">Das </w:t>
      </w:r>
      <w:r w:rsidR="00CD23A3" w:rsidRPr="00007EB1">
        <w:t xml:space="preserve">Ziel </w:t>
      </w:r>
      <w:r w:rsidR="00986D74" w:rsidRPr="00007EB1">
        <w:t xml:space="preserve">des </w:t>
      </w:r>
      <w:r w:rsidR="00836E4E" w:rsidRPr="00007EB1">
        <w:t>Universitätskurses</w:t>
      </w:r>
      <w:r w:rsidR="00986D74" w:rsidRPr="00007EB1">
        <w:t xml:space="preserve"> </w:t>
      </w:r>
      <w:r w:rsidR="00CD23A3" w:rsidRPr="00007EB1">
        <w:t>ist, eine</w:t>
      </w:r>
      <w:r w:rsidR="00ED7587" w:rsidRPr="00007EB1">
        <w:t xml:space="preserve"> qualitativ und quantitativ umfassende </w:t>
      </w:r>
      <w:r w:rsidR="00DA50B7" w:rsidRPr="00007EB1">
        <w:t>Verbesserung</w:t>
      </w:r>
      <w:r w:rsidR="00AC23BA" w:rsidRPr="00007EB1">
        <w:t xml:space="preserve"> des Fachwissens in</w:t>
      </w:r>
      <w:r w:rsidR="00ED7587" w:rsidRPr="00007EB1">
        <w:t xml:space="preserve"> der Disziplin Holzbau</w:t>
      </w:r>
      <w:r w:rsidR="00CD23A3" w:rsidRPr="00007EB1">
        <w:t xml:space="preserve"> </w:t>
      </w:r>
      <w:r w:rsidR="00AA352D" w:rsidRPr="00007EB1">
        <w:t>zu erreiche</w:t>
      </w:r>
      <w:r w:rsidR="00586C3B" w:rsidRPr="00007EB1">
        <w:t>n</w:t>
      </w:r>
      <w:r w:rsidR="00932C56" w:rsidRPr="00007EB1">
        <w:t>. Damit werden Hemmungen zur Anwendung des Werkstoffs minimiert und stetige Weiterentw</w:t>
      </w:r>
      <w:r w:rsidRPr="00007EB1">
        <w:t>icklung mit hoher Bauqualität</w:t>
      </w:r>
      <w:r w:rsidR="00932C56" w:rsidRPr="00007EB1">
        <w:t xml:space="preserve"> gefördert.</w:t>
      </w:r>
    </w:p>
    <w:p w14:paraId="5D88BB43" w14:textId="31E720FE" w:rsidR="00AD31A4" w:rsidRPr="00007EB1" w:rsidRDefault="00AD31A4" w:rsidP="00EB3DF5">
      <w:pPr>
        <w:pStyle w:val="Listenabsatz"/>
        <w:numPr>
          <w:ilvl w:val="0"/>
          <w:numId w:val="7"/>
        </w:numPr>
        <w:ind w:left="709"/>
      </w:pPr>
      <w:r w:rsidRPr="00007EB1">
        <w:lastRenderedPageBreak/>
        <w:t>Zielgruppen</w:t>
      </w:r>
    </w:p>
    <w:p w14:paraId="6184DB1F" w14:textId="77777777" w:rsidR="00AD31A4" w:rsidRPr="00007EB1" w:rsidRDefault="00AD31A4" w:rsidP="00801360">
      <w:pPr>
        <w:jc w:val="both"/>
      </w:pPr>
    </w:p>
    <w:p w14:paraId="3AB87002" w14:textId="0455AE6E" w:rsidR="00094875" w:rsidRPr="00801360" w:rsidRDefault="00094875" w:rsidP="00801360">
      <w:pPr>
        <w:pStyle w:val="Default"/>
        <w:jc w:val="both"/>
        <w:rPr>
          <w:sz w:val="22"/>
          <w:szCs w:val="22"/>
        </w:rPr>
      </w:pPr>
      <w:r w:rsidRPr="00801360">
        <w:rPr>
          <w:sz w:val="22"/>
          <w:szCs w:val="22"/>
        </w:rPr>
        <w:t>Entsprechend der angeführten Zielsetzung dient der Universitäts</w:t>
      </w:r>
      <w:r w:rsidR="00A61E5E" w:rsidRPr="00801360">
        <w:rPr>
          <w:sz w:val="22"/>
          <w:szCs w:val="22"/>
        </w:rPr>
        <w:t>kurs</w:t>
      </w:r>
      <w:r w:rsidRPr="00801360">
        <w:rPr>
          <w:sz w:val="22"/>
          <w:szCs w:val="22"/>
        </w:rPr>
        <w:t xml:space="preserve"> der Weiterbildung von Führungs- und Fachkräften im Bausektor, die sich im Bereich Holzbau weiterbilden und positionieren wollen. </w:t>
      </w:r>
    </w:p>
    <w:p w14:paraId="4275EFE6" w14:textId="66116F40" w:rsidR="00094875" w:rsidRPr="00007EB1" w:rsidRDefault="00CD23A3" w:rsidP="00801360">
      <w:pPr>
        <w:jc w:val="both"/>
      </w:pPr>
      <w:r w:rsidRPr="00007EB1">
        <w:t xml:space="preserve">Der </w:t>
      </w:r>
      <w:r w:rsidR="00A61E5E" w:rsidRPr="00007EB1">
        <w:t>Universitätskurs</w:t>
      </w:r>
      <w:r w:rsidRPr="00007EB1">
        <w:t xml:space="preserve"> zielt auf bereits im Beruf stehende Architekt</w:t>
      </w:r>
      <w:r w:rsidR="00094875" w:rsidRPr="00007EB1">
        <w:t>*i</w:t>
      </w:r>
      <w:r w:rsidRPr="00007EB1">
        <w:t>nnen</w:t>
      </w:r>
      <w:r w:rsidR="00094875" w:rsidRPr="00007EB1">
        <w:t>, Bauingenieur*innen</w:t>
      </w:r>
      <w:r w:rsidR="006937ED" w:rsidRPr="00007EB1">
        <w:t>, planende Baumeister</w:t>
      </w:r>
      <w:r w:rsidR="0036255B" w:rsidRPr="00007EB1">
        <w:t>*innen</w:t>
      </w:r>
      <w:r w:rsidR="006937ED" w:rsidRPr="00007EB1">
        <w:t xml:space="preserve"> und Zimmermeister</w:t>
      </w:r>
      <w:r w:rsidR="0036255B" w:rsidRPr="00007EB1">
        <w:t>*innen</w:t>
      </w:r>
      <w:r w:rsidR="00094875" w:rsidRPr="00007EB1">
        <w:t xml:space="preserve"> ab, </w:t>
      </w:r>
      <w:r w:rsidR="001018E5" w:rsidRPr="00007EB1">
        <w:t>die Expertise im Bereich de</w:t>
      </w:r>
      <w:r w:rsidR="00660C67" w:rsidRPr="00007EB1">
        <w:t>r</w:t>
      </w:r>
      <w:r w:rsidR="001018E5" w:rsidRPr="00007EB1">
        <w:t xml:space="preserve"> </w:t>
      </w:r>
      <w:r w:rsidR="00660C67" w:rsidRPr="00007EB1">
        <w:t>zeitgemäßen Holzarchitektur</w:t>
      </w:r>
      <w:r w:rsidR="001018E5" w:rsidRPr="00007EB1">
        <w:t xml:space="preserve"> erlangen wollen. </w:t>
      </w:r>
    </w:p>
    <w:p w14:paraId="758758BB" w14:textId="42F02A03" w:rsidR="001018E5" w:rsidRPr="00007EB1" w:rsidRDefault="001018E5" w:rsidP="00801360">
      <w:pPr>
        <w:jc w:val="both"/>
      </w:pPr>
      <w:r w:rsidRPr="00007EB1">
        <w:t xml:space="preserve">Diese Kompetenz ermöglicht </w:t>
      </w:r>
      <w:proofErr w:type="gramStart"/>
      <w:r w:rsidRPr="00007EB1">
        <w:t>den Absolv</w:t>
      </w:r>
      <w:r w:rsidR="00314BA9" w:rsidRPr="00007EB1">
        <w:t>ent</w:t>
      </w:r>
      <w:proofErr w:type="gramEnd"/>
      <w:r w:rsidR="00314BA9" w:rsidRPr="00007EB1">
        <w:t>*innen</w:t>
      </w:r>
      <w:r w:rsidR="00543773" w:rsidRPr="00007EB1">
        <w:t xml:space="preserve"> </w:t>
      </w:r>
      <w:r w:rsidR="00094875" w:rsidRPr="00007EB1">
        <w:t xml:space="preserve">u.a. </w:t>
      </w:r>
      <w:r w:rsidR="00543773" w:rsidRPr="00007EB1">
        <w:t>als Fa</w:t>
      </w:r>
      <w:r w:rsidR="00094875" w:rsidRPr="00007EB1">
        <w:t>ch- und Führungskr</w:t>
      </w:r>
      <w:r w:rsidR="00314BA9" w:rsidRPr="00007EB1">
        <w:t>äfte</w:t>
      </w:r>
      <w:r w:rsidR="00094875" w:rsidRPr="00007EB1">
        <w:t xml:space="preserve"> in ZT-Büros (Architekten, Bauingenieure, usw.) Holzbauprojekte zu bearbeiten bzw. zu entwickeln oder in </w:t>
      </w:r>
      <w:r w:rsidR="00543773" w:rsidRPr="00007EB1">
        <w:t>verarbeiteten Holzbaubetrieben</w:t>
      </w:r>
      <w:r w:rsidR="00466A63" w:rsidRPr="00007EB1">
        <w:t xml:space="preserve"> zu arbeiten.</w:t>
      </w:r>
      <w:r w:rsidR="00152677" w:rsidRPr="00007EB1">
        <w:t xml:space="preserve"> </w:t>
      </w:r>
    </w:p>
    <w:p w14:paraId="70BCF59C" w14:textId="5AE2F1D2" w:rsidR="00660C67" w:rsidRDefault="00660C67" w:rsidP="00801360">
      <w:pPr>
        <w:jc w:val="both"/>
      </w:pPr>
    </w:p>
    <w:p w14:paraId="4F63E738" w14:textId="77777777" w:rsidR="007A675D" w:rsidRPr="00007EB1" w:rsidRDefault="007A675D" w:rsidP="00801360">
      <w:pPr>
        <w:jc w:val="both"/>
      </w:pPr>
    </w:p>
    <w:p w14:paraId="6204F2AC" w14:textId="5F242A3F" w:rsidR="00AD31A4" w:rsidRPr="00007EB1" w:rsidRDefault="00AD31A4" w:rsidP="00EB3DF5">
      <w:pPr>
        <w:pStyle w:val="Listenabsatz"/>
        <w:numPr>
          <w:ilvl w:val="0"/>
          <w:numId w:val="7"/>
        </w:numPr>
        <w:ind w:left="709"/>
      </w:pPr>
      <w:r w:rsidRPr="00007EB1">
        <w:t>Zukünftige Arbeitsfelder</w:t>
      </w:r>
    </w:p>
    <w:p w14:paraId="72DE981C" w14:textId="724B7187" w:rsidR="00AD31A4" w:rsidRPr="00007EB1" w:rsidRDefault="00AD31A4" w:rsidP="00EB3DF5">
      <w:pPr>
        <w:rPr>
          <w:lang w:val="de-AT"/>
        </w:rPr>
      </w:pPr>
    </w:p>
    <w:p w14:paraId="4A79AF09" w14:textId="7223CFD7" w:rsidR="00AD31A4" w:rsidRPr="00007EB1" w:rsidRDefault="00152677" w:rsidP="001F3EA5">
      <w:pPr>
        <w:jc w:val="both"/>
      </w:pPr>
      <w:r w:rsidRPr="00007EB1">
        <w:t xml:space="preserve">Nach Absolvierung des </w:t>
      </w:r>
      <w:r w:rsidR="001F3EA5">
        <w:t>Universitätsk</w:t>
      </w:r>
      <w:r w:rsidRPr="00007EB1">
        <w:t>urses können je nach mitgebrachte</w:t>
      </w:r>
      <w:r w:rsidR="00314BA9" w:rsidRPr="00007EB1">
        <w:t>m</w:t>
      </w:r>
      <w:r w:rsidRPr="00007EB1">
        <w:t xml:space="preserve"> Hintergrundwissen folgende Tätigkeiten übernommen werden: </w:t>
      </w:r>
    </w:p>
    <w:p w14:paraId="5498F2D5" w14:textId="4D5DF377" w:rsidR="00152677" w:rsidRPr="00007EB1" w:rsidRDefault="00D44805" w:rsidP="00EB3DF5">
      <w:pPr>
        <w:pStyle w:val="Listenabsatz"/>
        <w:numPr>
          <w:ilvl w:val="0"/>
          <w:numId w:val="20"/>
        </w:numPr>
      </w:pPr>
      <w:r w:rsidRPr="00007EB1">
        <w:t>Holzbau-Planer</w:t>
      </w:r>
      <w:r w:rsidR="00152677" w:rsidRPr="00007EB1">
        <w:t>*in (mit dem Hintergrund Architektur oder Bauingenieurwesen)</w:t>
      </w:r>
    </w:p>
    <w:p w14:paraId="3066CD02" w14:textId="1CAC6CF1" w:rsidR="00D44805" w:rsidRPr="00007EB1" w:rsidRDefault="00D44805" w:rsidP="00EB3DF5">
      <w:pPr>
        <w:pStyle w:val="Listenabsatz"/>
        <w:numPr>
          <w:ilvl w:val="0"/>
          <w:numId w:val="20"/>
        </w:numPr>
      </w:pPr>
      <w:r w:rsidRPr="00007EB1">
        <w:t>Holzbau-Ingenieur</w:t>
      </w:r>
      <w:r w:rsidR="00152677" w:rsidRPr="00007EB1">
        <w:t xml:space="preserve">*in </w:t>
      </w:r>
      <w:r w:rsidR="00A61E5E" w:rsidRPr="00007EB1">
        <w:t>(mit dem Hintergrund Architektur oder Bauingenieurwesen)</w:t>
      </w:r>
    </w:p>
    <w:p w14:paraId="46974F94" w14:textId="4F56FA4B" w:rsidR="00D44805" w:rsidRPr="00007EB1" w:rsidRDefault="00D44805" w:rsidP="00EB3DF5">
      <w:pPr>
        <w:pStyle w:val="Listenabsatz"/>
        <w:numPr>
          <w:ilvl w:val="0"/>
          <w:numId w:val="20"/>
        </w:numPr>
      </w:pPr>
      <w:r w:rsidRPr="00007EB1">
        <w:t>Holzbau-Architekt</w:t>
      </w:r>
      <w:r w:rsidR="00152677" w:rsidRPr="00007EB1">
        <w:t>*in</w:t>
      </w:r>
      <w:r w:rsidRPr="00007EB1">
        <w:t xml:space="preserve"> (mit dem </w:t>
      </w:r>
      <w:r w:rsidR="00152677" w:rsidRPr="00007EB1">
        <w:t>Hintergrund</w:t>
      </w:r>
      <w:r w:rsidRPr="00007EB1">
        <w:t xml:space="preserve"> Architektur)</w:t>
      </w:r>
    </w:p>
    <w:p w14:paraId="42A8E34F" w14:textId="7842A1B6" w:rsidR="00D44805" w:rsidRPr="00007EB1" w:rsidRDefault="00D44805" w:rsidP="00EB3DF5">
      <w:pPr>
        <w:pStyle w:val="Listenabsatz"/>
        <w:numPr>
          <w:ilvl w:val="0"/>
          <w:numId w:val="20"/>
        </w:numPr>
      </w:pPr>
      <w:r w:rsidRPr="00007EB1">
        <w:t>Holzbau-Statiker</w:t>
      </w:r>
      <w:r w:rsidR="00152677" w:rsidRPr="00007EB1">
        <w:t>*in</w:t>
      </w:r>
      <w:r w:rsidRPr="00007EB1">
        <w:t xml:space="preserve"> (mit dem </w:t>
      </w:r>
      <w:r w:rsidR="00152677" w:rsidRPr="00007EB1">
        <w:t>Hintergrund</w:t>
      </w:r>
      <w:r w:rsidRPr="00007EB1">
        <w:t xml:space="preserve"> Bauingenieurwesen)</w:t>
      </w:r>
    </w:p>
    <w:p w14:paraId="1A7808F8" w14:textId="6C964D2B" w:rsidR="004312AA" w:rsidRPr="00007EB1" w:rsidRDefault="00152677" w:rsidP="00EB3DF5">
      <w:pPr>
        <w:pStyle w:val="Listenabsatz"/>
        <w:numPr>
          <w:ilvl w:val="0"/>
          <w:numId w:val="20"/>
        </w:numPr>
      </w:pPr>
      <w:r w:rsidRPr="00007EB1">
        <w:t xml:space="preserve">Holzbauberater*in, Projektleiter*in </w:t>
      </w:r>
      <w:proofErr w:type="spellStart"/>
      <w:r w:rsidRPr="00007EB1">
        <w:t>in</w:t>
      </w:r>
      <w:proofErr w:type="spellEnd"/>
      <w:r w:rsidRPr="00007EB1">
        <w:t xml:space="preserve"> z.B. öffentlichen Einrichtungen</w:t>
      </w:r>
    </w:p>
    <w:p w14:paraId="19BBA6A9" w14:textId="353D0847" w:rsidR="00152677" w:rsidRPr="00007EB1" w:rsidRDefault="00152677" w:rsidP="00EB3DF5">
      <w:pPr>
        <w:pStyle w:val="Listenabsatz"/>
        <w:numPr>
          <w:ilvl w:val="0"/>
          <w:numId w:val="20"/>
        </w:numPr>
      </w:pPr>
      <w:r w:rsidRPr="00007EB1">
        <w:t>Anspruchsvolle (Leit</w:t>
      </w:r>
      <w:r w:rsidR="00A61E5E" w:rsidRPr="00007EB1">
        <w:t>ungs</w:t>
      </w:r>
      <w:r w:rsidRPr="00007EB1">
        <w:t xml:space="preserve">-) Funktionen in </w:t>
      </w:r>
      <w:r w:rsidR="00660C67" w:rsidRPr="00007EB1">
        <w:t>h</w:t>
      </w:r>
      <w:r w:rsidRPr="00007EB1">
        <w:t>olzverarbeitende</w:t>
      </w:r>
      <w:r w:rsidR="00660C67" w:rsidRPr="00007EB1">
        <w:t>n</w:t>
      </w:r>
      <w:r w:rsidRPr="00007EB1">
        <w:t xml:space="preserve"> Unternehmen oder die es werden wollen.</w:t>
      </w:r>
    </w:p>
    <w:p w14:paraId="5477D0AB" w14:textId="5A7F4F28" w:rsidR="00152677" w:rsidRPr="00007EB1" w:rsidRDefault="00152677" w:rsidP="00EB3DF5">
      <w:pPr>
        <w:pStyle w:val="Listenabsatz"/>
        <w:numPr>
          <w:ilvl w:val="0"/>
          <w:numId w:val="20"/>
        </w:numPr>
      </w:pPr>
      <w:r w:rsidRPr="00007EB1">
        <w:t>usw.</w:t>
      </w:r>
    </w:p>
    <w:p w14:paraId="34176A3C" w14:textId="15B722DB" w:rsidR="00660C67" w:rsidRDefault="00660C67" w:rsidP="00EB3DF5"/>
    <w:p w14:paraId="2DC0DCCA" w14:textId="77777777" w:rsidR="007A675D" w:rsidRPr="00007EB1" w:rsidRDefault="007A675D" w:rsidP="00EB3DF5"/>
    <w:p w14:paraId="6DD47899" w14:textId="7DABACBD" w:rsidR="00AD31A4" w:rsidRPr="00007EB1" w:rsidRDefault="00AD31A4" w:rsidP="00EB3DF5">
      <w:pPr>
        <w:pStyle w:val="Listenabsatz"/>
        <w:numPr>
          <w:ilvl w:val="0"/>
          <w:numId w:val="7"/>
        </w:numPr>
        <w:ind w:left="709"/>
      </w:pPr>
      <w:r w:rsidRPr="00007EB1">
        <w:t>Lernergebnisse</w:t>
      </w:r>
    </w:p>
    <w:p w14:paraId="3E0ECF3D" w14:textId="77777777" w:rsidR="00082C70" w:rsidRPr="00007EB1" w:rsidRDefault="00082C70" w:rsidP="007A675D"/>
    <w:p w14:paraId="4250B799" w14:textId="0B4DC6FB" w:rsidR="002662E3" w:rsidRPr="007A675D" w:rsidRDefault="002662E3" w:rsidP="007A675D">
      <w:pPr>
        <w:jc w:val="both"/>
      </w:pPr>
      <w:r w:rsidRPr="007A675D">
        <w:t>Im Universitätskurs "Grundlagen Holzbau" bekommen die Teilnehmer*innen spezialisiertes Basiswissen vermittelt. Neben dem notwendigen technischen Fachwissen zum Umgang mit dem Baustoff</w:t>
      </w:r>
      <w:r w:rsidR="007A675D">
        <w:t>,</w:t>
      </w:r>
      <w:r w:rsidRPr="007A675D">
        <w:t xml:space="preserve"> begleitet der Schwerpunkt des nachhaltigen Bauens mit Holz alle Module des Kurses und aktuelle bzw. zukunftsweisende Entwurfs- und Konstruktionsstrategien werden erläutert.</w:t>
      </w:r>
    </w:p>
    <w:p w14:paraId="3B7854FF" w14:textId="77777777" w:rsidR="002662E3" w:rsidRPr="007A675D" w:rsidRDefault="002662E3" w:rsidP="007A675D">
      <w:pPr>
        <w:jc w:val="both"/>
      </w:pPr>
    </w:p>
    <w:p w14:paraId="5104B1F3" w14:textId="41D73525" w:rsidR="00A61E5E" w:rsidRPr="007A675D" w:rsidRDefault="00A61E5E" w:rsidP="007A675D">
      <w:pPr>
        <w:jc w:val="both"/>
      </w:pPr>
      <w:r w:rsidRPr="007A675D">
        <w:t xml:space="preserve">Nach Absolvierung des Universitätskurses verfügen die Teilnehmer*innen über folgende Kompetenzen: </w:t>
      </w:r>
    </w:p>
    <w:p w14:paraId="3C2B9EFB" w14:textId="77777777" w:rsidR="00A61E5E" w:rsidRPr="00007EB1" w:rsidRDefault="00A61E5E" w:rsidP="00C4331E">
      <w:pPr>
        <w:pStyle w:val="Listenabsatz"/>
        <w:numPr>
          <w:ilvl w:val="0"/>
          <w:numId w:val="18"/>
        </w:numPr>
        <w:jc w:val="both"/>
      </w:pPr>
      <w:r w:rsidRPr="00007EB1">
        <w:t xml:space="preserve">Sie haben umfassende Kenntnisse über die </w:t>
      </w:r>
      <w:r w:rsidRPr="00007EB1">
        <w:rPr>
          <w:b/>
        </w:rPr>
        <w:t>Ressource Holz</w:t>
      </w:r>
      <w:r w:rsidRPr="00007EB1">
        <w:t xml:space="preserve"> und Holzwerkstoffe. Aktuelle Entwicklungen im Bereich der </w:t>
      </w:r>
      <w:r w:rsidRPr="00007EB1">
        <w:rPr>
          <w:b/>
        </w:rPr>
        <w:t>Bauwerkstoffe</w:t>
      </w:r>
      <w:r w:rsidRPr="00007EB1">
        <w:t xml:space="preserve"> und deren mögliche Einsatzgebiete sind bekannt. In Zukunft entstehende Baustoffe werden durch diese Kenntnisse bestimmbarer und die Anwendungsbereitschaft gefördert.</w:t>
      </w:r>
    </w:p>
    <w:p w14:paraId="707EDCA5" w14:textId="77777777" w:rsidR="00A61E5E" w:rsidRPr="00007EB1" w:rsidRDefault="00A61E5E" w:rsidP="00C4331E">
      <w:pPr>
        <w:pStyle w:val="Listenabsatz"/>
        <w:numPr>
          <w:ilvl w:val="0"/>
          <w:numId w:val="18"/>
        </w:numPr>
        <w:jc w:val="both"/>
      </w:pPr>
      <w:r w:rsidRPr="00007EB1">
        <w:t xml:space="preserve">Aktuelle </w:t>
      </w:r>
      <w:r w:rsidRPr="00007EB1">
        <w:rPr>
          <w:b/>
        </w:rPr>
        <w:t>Holzbauweisen und deren Tragsysteme</w:t>
      </w:r>
      <w:r w:rsidRPr="00007EB1">
        <w:t xml:space="preserve"> sind bekannt und sie kennen die wichtigsten Kriterien für den resilienten, modernen Holzbau und dessen Entwicklung in den zusammenhängenden Bereichen </w:t>
      </w:r>
      <w:r w:rsidRPr="00007EB1">
        <w:rPr>
          <w:b/>
        </w:rPr>
        <w:t>Tragwerksentwurf und Tektonik</w:t>
      </w:r>
      <w:r w:rsidRPr="00007EB1">
        <w:t xml:space="preserve">. </w:t>
      </w:r>
    </w:p>
    <w:p w14:paraId="4DE3A17F" w14:textId="77777777" w:rsidR="00A61E5E" w:rsidRPr="00007EB1" w:rsidRDefault="00A61E5E" w:rsidP="00C4331E">
      <w:pPr>
        <w:pStyle w:val="Listenabsatz"/>
        <w:numPr>
          <w:ilvl w:val="0"/>
          <w:numId w:val="18"/>
        </w:numPr>
        <w:jc w:val="both"/>
      </w:pPr>
      <w:r w:rsidRPr="00007EB1">
        <w:t xml:space="preserve">Sie könnten </w:t>
      </w:r>
      <w:r w:rsidRPr="00007EB1">
        <w:rPr>
          <w:b/>
        </w:rPr>
        <w:t>resiliente Holzbaukonstruktionen</w:t>
      </w:r>
      <w:r w:rsidRPr="00007EB1">
        <w:t xml:space="preserve"> entwickeln und haben umfassende Kenntnis über die Themen des </w:t>
      </w:r>
      <w:r w:rsidRPr="00007EB1">
        <w:rPr>
          <w:b/>
        </w:rPr>
        <w:t>seriellen Bauens, Vorfertigung, die unterschiedlichen Modulbauweisen</w:t>
      </w:r>
      <w:r w:rsidRPr="00007EB1">
        <w:t>. Multiple Entwurfsstrategien für den mehrgeschossigen Holzbau können erarbeitet werden.</w:t>
      </w:r>
    </w:p>
    <w:p w14:paraId="08CB8B94" w14:textId="30B43A42" w:rsidR="00A61E5E" w:rsidRPr="00007EB1" w:rsidRDefault="00A61E5E" w:rsidP="00C4331E">
      <w:pPr>
        <w:pStyle w:val="Listenabsatz"/>
        <w:numPr>
          <w:ilvl w:val="0"/>
          <w:numId w:val="18"/>
        </w:numPr>
        <w:jc w:val="both"/>
      </w:pPr>
      <w:r w:rsidRPr="00007EB1">
        <w:t xml:space="preserve">Sie beherrschen nicht nur theoretische Grundlagen der Schwerpunkte </w:t>
      </w:r>
      <w:r w:rsidRPr="00007EB1">
        <w:rPr>
          <w:b/>
        </w:rPr>
        <w:t>Ökologie und Nachhaltiges Bauen mit Holz</w:t>
      </w:r>
      <w:r w:rsidRPr="00007EB1">
        <w:t>, sondern könnten mit diesem Wissen auch, je nach Anwendungsfall in ihren Projekten, umweltbewusste Richtungen vorgeben.</w:t>
      </w:r>
    </w:p>
    <w:p w14:paraId="03B65FA5" w14:textId="77777777" w:rsidR="00A61E5E" w:rsidRPr="00007EB1" w:rsidRDefault="00A61E5E" w:rsidP="00C4331E">
      <w:pPr>
        <w:pStyle w:val="Listenabsatz"/>
        <w:numPr>
          <w:ilvl w:val="0"/>
          <w:numId w:val="18"/>
        </w:numPr>
        <w:jc w:val="both"/>
      </w:pPr>
      <w:r w:rsidRPr="00007EB1">
        <w:t>Hochwertige (Entwurfs-)</w:t>
      </w:r>
      <w:proofErr w:type="spellStart"/>
      <w:r w:rsidRPr="00007EB1">
        <w:t>strategien</w:t>
      </w:r>
      <w:proofErr w:type="spellEnd"/>
      <w:r w:rsidRPr="00007EB1">
        <w:t xml:space="preserve"> können in einem interdisziplinären Planungs- und Ausführungsteam entwickelt werden.</w:t>
      </w:r>
    </w:p>
    <w:p w14:paraId="7722946D" w14:textId="7B4D89C6" w:rsidR="00A61E5E" w:rsidRPr="00007EB1" w:rsidRDefault="00C4331E" w:rsidP="00C4331E">
      <w:pPr>
        <w:pStyle w:val="Listenabsatz"/>
        <w:numPr>
          <w:ilvl w:val="0"/>
          <w:numId w:val="18"/>
        </w:numPr>
        <w:jc w:val="both"/>
        <w:rPr>
          <w:strike/>
        </w:rPr>
      </w:pPr>
      <w:r>
        <w:rPr>
          <w:color w:val="000000"/>
          <w:lang w:eastAsia="en-US"/>
        </w:rPr>
        <w:lastRenderedPageBreak/>
        <w:t xml:space="preserve">Sie besitzen eine </w:t>
      </w:r>
      <w:r w:rsidR="00DA50B7" w:rsidRPr="00007EB1">
        <w:rPr>
          <w:color w:val="000000"/>
          <w:lang w:val="de-AT" w:eastAsia="en-US"/>
        </w:rPr>
        <w:t>ausgeprägte Fähigkeit zur Problemlösung (oder Problemlösungskompetenz), die es ihnen ermöglicht, Holzbaulösungen für komplexe Herausforderungen erfolgreich auszuarbeiten</w:t>
      </w:r>
      <w:r>
        <w:rPr>
          <w:color w:val="000000"/>
          <w:lang w:val="de-AT" w:eastAsia="en-US"/>
        </w:rPr>
        <w:t>.</w:t>
      </w:r>
    </w:p>
    <w:p w14:paraId="04A50B31" w14:textId="77777777" w:rsidR="00A61E5E" w:rsidRPr="00C4331E" w:rsidRDefault="00A61E5E" w:rsidP="00C4331E">
      <w:pPr>
        <w:jc w:val="both"/>
      </w:pPr>
    </w:p>
    <w:p w14:paraId="4AAB185D" w14:textId="58CD1616" w:rsidR="00A61E5E" w:rsidRPr="00C4331E" w:rsidRDefault="00A61E5E" w:rsidP="00C4331E">
      <w:pPr>
        <w:jc w:val="both"/>
      </w:pPr>
      <w:r w:rsidRPr="00C4331E">
        <w:t xml:space="preserve">Die Praxisrelevanz der Ausbildung und höchstes wissenschaftliches Niveau müssen in gleicher Weise sichergestellt werden. Dies wird dadurch erreicht, dass die Teilnehmer*innen sowohl </w:t>
      </w:r>
      <w:r w:rsidR="003C0884" w:rsidRPr="00C4331E">
        <w:t xml:space="preserve">Fachwissen </w:t>
      </w:r>
      <w:r w:rsidRPr="00C4331E">
        <w:t>(Technisches Wissen, aktuelle Entwurfsstrategien, Trends und Vorgehensweisen im Holzbausektor) vermittelt bekommen, als auch ihre theoretischen Kenntnisse in (interdisziplinären) Gruppenarbeiten, Fallbeispielen und praktischen Fragestellungen anzuwenden haben.</w:t>
      </w:r>
    </w:p>
    <w:p w14:paraId="0914EB04" w14:textId="5CBE9667" w:rsidR="00A61E5E" w:rsidRPr="00C4331E" w:rsidRDefault="00A61E5E" w:rsidP="00C4331E">
      <w:pPr>
        <w:jc w:val="both"/>
      </w:pPr>
      <w:r w:rsidRPr="00C4331E">
        <w:t>Auf diese Weise wird ihre Handlungs- und Fachkompetenz erweitert und die dadurch erworbenen Kenntnisse sind direkt im jeweiligen Arbeitsumfeld umsetzbar.</w:t>
      </w:r>
      <w:r w:rsidR="00C4331E">
        <w:t xml:space="preserve"> </w:t>
      </w:r>
    </w:p>
    <w:p w14:paraId="1FA6A8A6" w14:textId="77777777" w:rsidR="002662E3" w:rsidRPr="00C4331E" w:rsidRDefault="002662E3" w:rsidP="00C4331E">
      <w:pPr>
        <w:jc w:val="both"/>
      </w:pPr>
      <w:r w:rsidRPr="00C4331E">
        <w:t>Die detaillierten Lernergebnisse sind in §4 (Unterrichtsplan) ersichtlich.</w:t>
      </w:r>
    </w:p>
    <w:p w14:paraId="66D60CB2" w14:textId="3546954A" w:rsidR="00AD31A4" w:rsidRPr="00C4331E" w:rsidRDefault="00AD31A4" w:rsidP="00C4331E">
      <w:pPr>
        <w:jc w:val="both"/>
      </w:pPr>
    </w:p>
    <w:p w14:paraId="6FDA06C8" w14:textId="77777777" w:rsidR="00660C67" w:rsidRPr="00C4331E" w:rsidRDefault="00660C67" w:rsidP="00C4331E">
      <w:pPr>
        <w:jc w:val="both"/>
      </w:pPr>
    </w:p>
    <w:p w14:paraId="3CB20545" w14:textId="77777777" w:rsidR="00AD31A4" w:rsidRPr="0017564F" w:rsidRDefault="00AD31A4" w:rsidP="0017564F">
      <w:pPr>
        <w:pStyle w:val="Listenabsatz"/>
        <w:numPr>
          <w:ilvl w:val="0"/>
          <w:numId w:val="7"/>
        </w:numPr>
        <w:ind w:left="709"/>
        <w:jc w:val="both"/>
      </w:pPr>
      <w:r w:rsidRPr="0017564F">
        <w:t>Lehr- und Lernkonzept</w:t>
      </w:r>
    </w:p>
    <w:p w14:paraId="14810488" w14:textId="77777777" w:rsidR="00AD31A4" w:rsidRPr="0017564F" w:rsidRDefault="00AD31A4" w:rsidP="0017564F">
      <w:pPr>
        <w:jc w:val="both"/>
      </w:pPr>
    </w:p>
    <w:p w14:paraId="1E68A705" w14:textId="6E931AB3" w:rsidR="00AF3C70" w:rsidRPr="0017564F" w:rsidRDefault="00660C67" w:rsidP="0017564F">
      <w:pPr>
        <w:jc w:val="both"/>
      </w:pPr>
      <w:r w:rsidRPr="0017564F">
        <w:t xml:space="preserve">Der </w:t>
      </w:r>
      <w:r w:rsidR="00FD5F5E" w:rsidRPr="0017564F">
        <w:t xml:space="preserve">Universitätskurs „Grundlagen Holzbau“ </w:t>
      </w:r>
      <w:r w:rsidR="00152677" w:rsidRPr="0017564F">
        <w:t xml:space="preserve">gliedert sich in 3 </w:t>
      </w:r>
      <w:r w:rsidR="0065732F" w:rsidRPr="0017564F">
        <w:t>Module</w:t>
      </w:r>
      <w:r w:rsidRPr="0017564F">
        <w:t xml:space="preserve"> </w:t>
      </w:r>
      <w:r w:rsidR="0065732F" w:rsidRPr="0017564F">
        <w:t xml:space="preserve">die sich wiederum in 3 </w:t>
      </w:r>
      <w:r w:rsidRPr="0017564F">
        <w:t>Formen</w:t>
      </w:r>
      <w:r w:rsidR="0065732F" w:rsidRPr="0017564F">
        <w:t xml:space="preserve"> der Wissensvermittlung unterteilen. </w:t>
      </w:r>
    </w:p>
    <w:p w14:paraId="20BAF86D" w14:textId="7B3F444A" w:rsidR="0006790C" w:rsidRPr="00007EB1" w:rsidRDefault="0065732F" w:rsidP="003463C1">
      <w:pPr>
        <w:jc w:val="both"/>
      </w:pPr>
      <w:r w:rsidRPr="00007EB1">
        <w:t xml:space="preserve">In den </w:t>
      </w:r>
      <w:r w:rsidR="00AF6E43" w:rsidRPr="00007EB1">
        <w:rPr>
          <w:b/>
        </w:rPr>
        <w:t>Online-Phase</w:t>
      </w:r>
      <w:r w:rsidRPr="00007EB1">
        <w:rPr>
          <w:b/>
        </w:rPr>
        <w:t>n</w:t>
      </w:r>
      <w:r w:rsidR="00AF6E43" w:rsidRPr="00007EB1">
        <w:t xml:space="preserve"> </w:t>
      </w:r>
      <w:r w:rsidRPr="00007EB1">
        <w:t xml:space="preserve">werden theoretische Lehrinhalte vermittelt, </w:t>
      </w:r>
      <w:r w:rsidR="00AF6E43" w:rsidRPr="00007EB1">
        <w:t xml:space="preserve">die wochenweise </w:t>
      </w:r>
      <w:r w:rsidR="00FD5F5E" w:rsidRPr="00007EB1">
        <w:t xml:space="preserve">präsentiert bzw. </w:t>
      </w:r>
      <w:r w:rsidR="00AF6E43" w:rsidRPr="00007EB1">
        <w:t xml:space="preserve">freigeschaltet werden. </w:t>
      </w:r>
      <w:r w:rsidR="0042077D" w:rsidRPr="00007EB1">
        <w:t>Die Lehrveranstaltungen enthalten</w:t>
      </w:r>
      <w:r w:rsidR="00AF6E43" w:rsidRPr="00007EB1">
        <w:t xml:space="preserve"> </w:t>
      </w:r>
      <w:r w:rsidR="00DB704B" w:rsidRPr="00007EB1">
        <w:t xml:space="preserve">entweder </w:t>
      </w:r>
      <w:r w:rsidR="00AF6E43" w:rsidRPr="00007EB1">
        <w:t xml:space="preserve">Lehrvideos, begleitendes Online-Material </w:t>
      </w:r>
      <w:r w:rsidR="0042077D" w:rsidRPr="00007EB1">
        <w:t xml:space="preserve">oder </w:t>
      </w:r>
      <w:r w:rsidR="00AF6E43" w:rsidRPr="00007EB1">
        <w:t>Interaktionen</w:t>
      </w:r>
      <w:r w:rsidR="0042077D" w:rsidRPr="00007EB1">
        <w:t xml:space="preserve"> und </w:t>
      </w:r>
      <w:r w:rsidR="0017564F">
        <w:t xml:space="preserve">es </w:t>
      </w:r>
      <w:r w:rsidR="0042077D" w:rsidRPr="00007EB1">
        <w:t>können Wissensabfragen wie</w:t>
      </w:r>
      <w:r w:rsidR="00AF6E43" w:rsidRPr="00007EB1">
        <w:t xml:space="preserve"> </w:t>
      </w:r>
      <w:r w:rsidR="00AF6E43" w:rsidRPr="00007EB1">
        <w:rPr>
          <w:color w:val="000000" w:themeColor="text1"/>
        </w:rPr>
        <w:t>Self-Assessment</w:t>
      </w:r>
      <w:r w:rsidR="0042077D" w:rsidRPr="00007EB1">
        <w:rPr>
          <w:color w:val="000000" w:themeColor="text1"/>
        </w:rPr>
        <w:t>s</w:t>
      </w:r>
      <w:r w:rsidR="00AF6E43" w:rsidRPr="00007EB1">
        <w:rPr>
          <w:color w:val="000000" w:themeColor="text1"/>
        </w:rPr>
        <w:t xml:space="preserve"> </w:t>
      </w:r>
      <w:r w:rsidR="0042077D" w:rsidRPr="00007EB1">
        <w:rPr>
          <w:color w:val="000000" w:themeColor="text1"/>
        </w:rPr>
        <w:t xml:space="preserve">optional </w:t>
      </w:r>
      <w:r w:rsidR="00AF6E43" w:rsidRPr="00007EB1">
        <w:rPr>
          <w:color w:val="000000" w:themeColor="text1"/>
        </w:rPr>
        <w:t>zur Überprüfung des Lernstoffes</w:t>
      </w:r>
      <w:r w:rsidR="0042077D" w:rsidRPr="00007EB1">
        <w:rPr>
          <w:color w:val="000000" w:themeColor="text1"/>
        </w:rPr>
        <w:t xml:space="preserve"> an</w:t>
      </w:r>
      <w:r w:rsidR="003463C1">
        <w:rPr>
          <w:color w:val="000000" w:themeColor="text1"/>
        </w:rPr>
        <w:t>geboten werden</w:t>
      </w:r>
      <w:r w:rsidR="00AF6E43" w:rsidRPr="00007EB1">
        <w:rPr>
          <w:color w:val="000000" w:themeColor="text1"/>
        </w:rPr>
        <w:t xml:space="preserve">. Begleitet wird der Online-Kurs durch ein Forum, in dem sich Lehrende mit Lernenden oder Lernende untereinander austauschen. </w:t>
      </w:r>
    </w:p>
    <w:p w14:paraId="32909EC9" w14:textId="42FC4360" w:rsidR="00AF6E43" w:rsidRPr="00007EB1" w:rsidRDefault="00AF6E43" w:rsidP="003463C1">
      <w:pPr>
        <w:jc w:val="both"/>
      </w:pPr>
      <w:r w:rsidRPr="00007EB1">
        <w:t xml:space="preserve">Die anschließende </w:t>
      </w:r>
      <w:r w:rsidRPr="00007EB1">
        <w:rPr>
          <w:b/>
        </w:rPr>
        <w:t xml:space="preserve">Präsenzphase </w:t>
      </w:r>
      <w:r w:rsidRPr="00007EB1">
        <w:t xml:space="preserve">wird als synchrone </w:t>
      </w:r>
      <w:r w:rsidR="003463C1">
        <w:t>Präsenzl</w:t>
      </w:r>
      <w:r w:rsidRPr="00007EB1">
        <w:t xml:space="preserve">ehre </w:t>
      </w:r>
      <w:r w:rsidR="0065732F" w:rsidRPr="00007EB1">
        <w:t xml:space="preserve">in einer Mischung aus Frontal- bzw. </w:t>
      </w:r>
      <w:r w:rsidRPr="00007EB1">
        <w:t>Gesprächsunterricht</w:t>
      </w:r>
      <w:r w:rsidR="0065732F" w:rsidRPr="00007EB1">
        <w:t>, Exkursionen und Semina</w:t>
      </w:r>
      <w:r w:rsidR="0089028D" w:rsidRPr="00007EB1">
        <w:t>runterricht</w:t>
      </w:r>
      <w:r w:rsidR="0065732F" w:rsidRPr="00007EB1">
        <w:t xml:space="preserve"> abgehalten</w:t>
      </w:r>
      <w:r w:rsidRPr="00007EB1">
        <w:t>, wobei der gemeinsamen Diskussion</w:t>
      </w:r>
      <w:r w:rsidR="0065732F" w:rsidRPr="00007EB1">
        <w:t xml:space="preserve"> und d</w:t>
      </w:r>
      <w:r w:rsidR="0089028D" w:rsidRPr="00007EB1">
        <w:t>em</w:t>
      </w:r>
      <w:r w:rsidR="0065732F" w:rsidRPr="00007EB1">
        <w:t xml:space="preserve"> interdisziplinäre</w:t>
      </w:r>
      <w:r w:rsidR="0089028D" w:rsidRPr="00007EB1">
        <w:t>n</w:t>
      </w:r>
      <w:r w:rsidR="0065732F" w:rsidRPr="00007EB1">
        <w:t xml:space="preserve"> Arbeiten</w:t>
      </w:r>
      <w:r w:rsidRPr="00007EB1">
        <w:t xml:space="preserve"> (im Plenum, in Gruppen) viel Raum gewidmet wird.</w:t>
      </w:r>
      <w:r w:rsidR="0089028D" w:rsidRPr="00007EB1">
        <w:t xml:space="preserve"> </w:t>
      </w:r>
    </w:p>
    <w:p w14:paraId="7128624D" w14:textId="7AFA8EF1" w:rsidR="00AF6E43" w:rsidRPr="00007EB1" w:rsidRDefault="00AF6E43" w:rsidP="003463C1">
      <w:pPr>
        <w:jc w:val="both"/>
      </w:pPr>
      <w:r w:rsidRPr="00007EB1">
        <w:t xml:space="preserve">Die </w:t>
      </w:r>
      <w:r w:rsidR="00DB704B" w:rsidRPr="00007EB1">
        <w:t xml:space="preserve">Theorievermittlung </w:t>
      </w:r>
      <w:r w:rsidRPr="00007EB1">
        <w:t xml:space="preserve">der </w:t>
      </w:r>
      <w:r w:rsidR="003463C1">
        <w:t xml:space="preserve">bzw. des </w:t>
      </w:r>
      <w:r w:rsidRPr="00007EB1">
        <w:t>Lehrenden werden anhand von Beispielen veranschaulicht und gefestigt. In Einzel- oder Gruppenarbeiten werden weitere Aufgaben in der Präsenzzeit bearbeitet bzw. im Zuge des selbstgesteuerten Lernens vor- bzw. nachbereitet.</w:t>
      </w:r>
    </w:p>
    <w:p w14:paraId="355029A5" w14:textId="5EC56BB7" w:rsidR="00AF6E43" w:rsidRPr="00007EB1" w:rsidRDefault="00AF6E43" w:rsidP="003463C1">
      <w:pPr>
        <w:jc w:val="both"/>
      </w:pPr>
      <w:r w:rsidRPr="00007EB1">
        <w:t xml:space="preserve">Eine selbstständige Bearbeitung der Basisliteratur und Aneignung der Grundlagen werden als Vorbereitung und Nachbereitung zu den Präsenzphasen </w:t>
      </w:r>
      <w:r w:rsidR="0089028D" w:rsidRPr="00007EB1">
        <w:t xml:space="preserve">über eine Onlineplattform </w:t>
      </w:r>
      <w:r w:rsidRPr="00007EB1">
        <w:t>angeboten.</w:t>
      </w:r>
    </w:p>
    <w:p w14:paraId="2FDC3EAA" w14:textId="247C92AD" w:rsidR="00681E2E" w:rsidRPr="00007EB1" w:rsidRDefault="00AF6E43" w:rsidP="003463C1">
      <w:pPr>
        <w:jc w:val="both"/>
      </w:pPr>
      <w:r w:rsidRPr="00007EB1">
        <w:t xml:space="preserve">Ein anwendungsorientiertes </w:t>
      </w:r>
      <w:r w:rsidRPr="00007EB1">
        <w:rPr>
          <w:b/>
        </w:rPr>
        <w:t>Transfer</w:t>
      </w:r>
      <w:r w:rsidR="0089028D" w:rsidRPr="00007EB1">
        <w:rPr>
          <w:b/>
        </w:rPr>
        <w:t>- bzw. Entwurfs</w:t>
      </w:r>
      <w:r w:rsidRPr="00007EB1">
        <w:rPr>
          <w:b/>
        </w:rPr>
        <w:t>projekt</w:t>
      </w:r>
      <w:r w:rsidRPr="00007EB1">
        <w:t xml:space="preserve"> rundet das didaktische Konzept des Universitätskurses ab</w:t>
      </w:r>
      <w:r w:rsidR="005F0BFA" w:rsidRPr="00007EB1">
        <w:t>.</w:t>
      </w:r>
      <w:r w:rsidR="00A659A1" w:rsidRPr="00007EB1">
        <w:t xml:space="preserve"> Je nach Konstellation der Kursteilnehmer*innen werden Projekte in interdisziplinären Gruppen erarbeitet.</w:t>
      </w:r>
    </w:p>
    <w:p w14:paraId="49BCC2A9" w14:textId="77777777" w:rsidR="00AF3C70" w:rsidRPr="00007EB1" w:rsidRDefault="00AF3C70" w:rsidP="003463C1">
      <w:pPr>
        <w:jc w:val="both"/>
      </w:pPr>
    </w:p>
    <w:p w14:paraId="7682C53B" w14:textId="77777777" w:rsidR="006E70CE" w:rsidRPr="00007EB1" w:rsidRDefault="006E70CE" w:rsidP="003463C1">
      <w:pPr>
        <w:jc w:val="both"/>
      </w:pPr>
    </w:p>
    <w:p w14:paraId="6984A655" w14:textId="77777777" w:rsidR="00AD31A4" w:rsidRPr="00007EB1" w:rsidRDefault="00AD31A4" w:rsidP="00A06721">
      <w:pPr>
        <w:pStyle w:val="Listenabsatz"/>
        <w:numPr>
          <w:ilvl w:val="0"/>
          <w:numId w:val="7"/>
        </w:numPr>
        <w:ind w:left="709"/>
        <w:jc w:val="both"/>
      </w:pPr>
      <w:r w:rsidRPr="00007EB1">
        <w:t>Beurteilungskonzept</w:t>
      </w:r>
    </w:p>
    <w:p w14:paraId="20EDFC06" w14:textId="77777777" w:rsidR="00681E2E" w:rsidRPr="00007EB1" w:rsidRDefault="00681E2E" w:rsidP="00A06721">
      <w:pPr>
        <w:jc w:val="both"/>
      </w:pPr>
    </w:p>
    <w:p w14:paraId="1BC2412C" w14:textId="38E876CE" w:rsidR="00AF6E43" w:rsidRPr="00007EB1" w:rsidRDefault="00AF6E43" w:rsidP="00753140">
      <w:pPr>
        <w:pStyle w:val="Default"/>
        <w:jc w:val="both"/>
        <w:rPr>
          <w:sz w:val="22"/>
          <w:szCs w:val="22"/>
        </w:rPr>
      </w:pPr>
      <w:r w:rsidRPr="00007EB1">
        <w:rPr>
          <w:sz w:val="22"/>
          <w:szCs w:val="22"/>
        </w:rPr>
        <w:t xml:space="preserve">Die Leistungsbeurteilung der Online-Phase erfolgt über </w:t>
      </w:r>
      <w:r w:rsidR="00753140" w:rsidRPr="00753140">
        <w:rPr>
          <w:sz w:val="22"/>
          <w:szCs w:val="22"/>
        </w:rPr>
        <w:t>eine Prüfung,</w:t>
      </w:r>
      <w:r w:rsidR="00753140">
        <w:rPr>
          <w:sz w:val="22"/>
          <w:szCs w:val="22"/>
        </w:rPr>
        <w:t xml:space="preserve"> </w:t>
      </w:r>
      <w:r w:rsidR="00753140" w:rsidRPr="00753140">
        <w:rPr>
          <w:sz w:val="22"/>
          <w:szCs w:val="22"/>
        </w:rPr>
        <w:t>üblicherweise als Online-Assessment</w:t>
      </w:r>
      <w:r w:rsidR="00753140">
        <w:rPr>
          <w:sz w:val="22"/>
          <w:szCs w:val="22"/>
        </w:rPr>
        <w:t>.</w:t>
      </w:r>
      <w:r w:rsidRPr="00007EB1">
        <w:rPr>
          <w:sz w:val="22"/>
          <w:szCs w:val="22"/>
        </w:rPr>
        <w:t xml:space="preserve"> </w:t>
      </w:r>
      <w:r w:rsidR="00753140">
        <w:rPr>
          <w:sz w:val="22"/>
          <w:szCs w:val="22"/>
        </w:rPr>
        <w:t xml:space="preserve">Die </w:t>
      </w:r>
      <w:r w:rsidRPr="00007EB1">
        <w:rPr>
          <w:sz w:val="22"/>
          <w:szCs w:val="22"/>
        </w:rPr>
        <w:t>Präsenzlehrveranstaltung</w:t>
      </w:r>
      <w:r w:rsidR="00753140">
        <w:rPr>
          <w:sz w:val="22"/>
          <w:szCs w:val="22"/>
        </w:rPr>
        <w:t xml:space="preserve">en </w:t>
      </w:r>
      <w:r w:rsidR="00660C67" w:rsidRPr="00007EB1">
        <w:rPr>
          <w:sz w:val="22"/>
          <w:szCs w:val="22"/>
        </w:rPr>
        <w:t>besitz</w:t>
      </w:r>
      <w:r w:rsidR="00753140">
        <w:rPr>
          <w:sz w:val="22"/>
          <w:szCs w:val="22"/>
        </w:rPr>
        <w:t>en</w:t>
      </w:r>
      <w:r w:rsidR="00660C67" w:rsidRPr="00007EB1">
        <w:rPr>
          <w:sz w:val="22"/>
          <w:szCs w:val="22"/>
        </w:rPr>
        <w:t xml:space="preserve"> immanenten Prüfungscharakter</w:t>
      </w:r>
      <w:r w:rsidR="001F50C0">
        <w:rPr>
          <w:sz w:val="22"/>
          <w:szCs w:val="22"/>
        </w:rPr>
        <w:t>, wobei d</w:t>
      </w:r>
      <w:r w:rsidR="000A1D47" w:rsidRPr="00007EB1">
        <w:rPr>
          <w:sz w:val="22"/>
          <w:szCs w:val="22"/>
        </w:rPr>
        <w:t>ie</w:t>
      </w:r>
      <w:r w:rsidRPr="00007EB1">
        <w:rPr>
          <w:sz w:val="22"/>
          <w:szCs w:val="22"/>
        </w:rPr>
        <w:t xml:space="preserve"> Ausarbeitung</w:t>
      </w:r>
      <w:r w:rsidR="00A659A1" w:rsidRPr="00007EB1">
        <w:rPr>
          <w:sz w:val="22"/>
          <w:szCs w:val="22"/>
        </w:rPr>
        <w:t xml:space="preserve"> einer praktischen Übung bzw. Seminararbeit</w:t>
      </w:r>
      <w:r w:rsidRPr="00007EB1">
        <w:rPr>
          <w:sz w:val="22"/>
          <w:szCs w:val="22"/>
        </w:rPr>
        <w:t xml:space="preserve"> </w:t>
      </w:r>
      <w:r w:rsidR="00A659A1" w:rsidRPr="00007EB1">
        <w:rPr>
          <w:sz w:val="22"/>
          <w:szCs w:val="22"/>
        </w:rPr>
        <w:t>oder die</w:t>
      </w:r>
      <w:r w:rsidRPr="00007EB1">
        <w:rPr>
          <w:sz w:val="22"/>
          <w:szCs w:val="22"/>
        </w:rPr>
        <w:t xml:space="preserve"> Präsentation </w:t>
      </w:r>
      <w:r w:rsidR="000A1D47" w:rsidRPr="00007EB1">
        <w:rPr>
          <w:sz w:val="22"/>
          <w:szCs w:val="22"/>
        </w:rPr>
        <w:t>einer</w:t>
      </w:r>
      <w:r w:rsidRPr="00007EB1">
        <w:rPr>
          <w:sz w:val="22"/>
          <w:szCs w:val="22"/>
        </w:rPr>
        <w:t xml:space="preserve"> Gruppenarbeit</w:t>
      </w:r>
      <w:r w:rsidR="000A1D47" w:rsidRPr="00007EB1">
        <w:rPr>
          <w:sz w:val="22"/>
          <w:szCs w:val="22"/>
        </w:rPr>
        <w:t xml:space="preserve"> in die Beurteilung mitein</w:t>
      </w:r>
      <w:r w:rsidR="001F50C0">
        <w:rPr>
          <w:sz w:val="22"/>
          <w:szCs w:val="22"/>
        </w:rPr>
        <w:t>fließen</w:t>
      </w:r>
      <w:r w:rsidR="000A1D47" w:rsidRPr="00007EB1">
        <w:rPr>
          <w:sz w:val="22"/>
          <w:szCs w:val="22"/>
        </w:rPr>
        <w:t xml:space="preserve">. </w:t>
      </w:r>
      <w:r w:rsidRPr="00007EB1">
        <w:rPr>
          <w:sz w:val="22"/>
          <w:szCs w:val="22"/>
        </w:rPr>
        <w:t>Die Leistungen der Transferphase werden auf Basis der Ausarbeitung des Transferprojektes in Form eines Projektberichtes</w:t>
      </w:r>
      <w:r w:rsidR="0089028D" w:rsidRPr="00007EB1">
        <w:rPr>
          <w:sz w:val="22"/>
          <w:szCs w:val="22"/>
        </w:rPr>
        <w:t>, Planunterlagen</w:t>
      </w:r>
      <w:r w:rsidRPr="00007EB1">
        <w:rPr>
          <w:sz w:val="22"/>
          <w:szCs w:val="22"/>
        </w:rPr>
        <w:t xml:space="preserve"> bzw. anhand einer Präsentation der Projektergebnisse bewertet. </w:t>
      </w:r>
    </w:p>
    <w:p w14:paraId="33307B27" w14:textId="77777777" w:rsidR="00A06721" w:rsidRDefault="00A06721">
      <w:pPr>
        <w:rPr>
          <w:color w:val="000000"/>
          <w:lang w:val="de-AT" w:eastAsia="en-US"/>
        </w:rPr>
      </w:pPr>
      <w:r>
        <w:br w:type="page"/>
      </w:r>
    </w:p>
    <w:p w14:paraId="064AE8FD" w14:textId="7BCE44C0" w:rsidR="00AF6E43" w:rsidRPr="00007EB1" w:rsidRDefault="00AF6E43" w:rsidP="00A06721">
      <w:pPr>
        <w:pStyle w:val="Default"/>
        <w:jc w:val="both"/>
        <w:rPr>
          <w:sz w:val="22"/>
          <w:szCs w:val="22"/>
        </w:rPr>
      </w:pPr>
      <w:bookmarkStart w:id="1" w:name="_Hlk160698784"/>
      <w:r w:rsidRPr="00007EB1">
        <w:rPr>
          <w:sz w:val="22"/>
          <w:szCs w:val="22"/>
        </w:rPr>
        <w:lastRenderedPageBreak/>
        <w:t xml:space="preserve">Gewichtung der Einzelbeurteilungen in der Gesamtbeurteilung </w:t>
      </w:r>
      <w:r w:rsidR="00660C67" w:rsidRPr="00007EB1">
        <w:rPr>
          <w:sz w:val="22"/>
          <w:szCs w:val="22"/>
        </w:rPr>
        <w:t>eines</w:t>
      </w:r>
      <w:r w:rsidRPr="00007EB1">
        <w:rPr>
          <w:sz w:val="22"/>
          <w:szCs w:val="22"/>
        </w:rPr>
        <w:t xml:space="preserve"> Moduls:</w:t>
      </w:r>
    </w:p>
    <w:p w14:paraId="3D324938" w14:textId="77777777" w:rsidR="00AF6E43" w:rsidRPr="00007EB1" w:rsidRDefault="00AF6E43" w:rsidP="00A06721">
      <w:pPr>
        <w:pStyle w:val="Default"/>
        <w:jc w:val="both"/>
        <w:rPr>
          <w:sz w:val="22"/>
          <w:szCs w:val="22"/>
        </w:rPr>
      </w:pPr>
    </w:p>
    <w:tbl>
      <w:tblPr>
        <w:tblW w:w="9180" w:type="dxa"/>
        <w:tblInd w:w="-168" w:type="dxa"/>
        <w:tblLayout w:type="fixed"/>
        <w:tblLook w:val="0000" w:firstRow="0" w:lastRow="0" w:firstColumn="0" w:lastColumn="0" w:noHBand="0" w:noVBand="0"/>
      </w:tblPr>
      <w:tblGrid>
        <w:gridCol w:w="2461"/>
        <w:gridCol w:w="2461"/>
        <w:gridCol w:w="4258"/>
      </w:tblGrid>
      <w:tr w:rsidR="00AF6E43" w:rsidRPr="00660C67" w14:paraId="33B7C8CE" w14:textId="77777777" w:rsidTr="000A1D47">
        <w:trPr>
          <w:trHeight w:val="128"/>
        </w:trPr>
        <w:tc>
          <w:tcPr>
            <w:tcW w:w="2461" w:type="dxa"/>
            <w:tcBorders>
              <w:bottom w:val="single" w:sz="4" w:space="0" w:color="auto"/>
            </w:tcBorders>
          </w:tcPr>
          <w:p w14:paraId="3D294F42" w14:textId="77777777" w:rsidR="00AF6E43" w:rsidRPr="00660C67" w:rsidRDefault="00AF6E43" w:rsidP="00EB3DF5">
            <w:pPr>
              <w:pStyle w:val="Default"/>
              <w:rPr>
                <w:sz w:val="18"/>
                <w:szCs w:val="18"/>
              </w:rPr>
            </w:pPr>
          </w:p>
        </w:tc>
        <w:tc>
          <w:tcPr>
            <w:tcW w:w="2461" w:type="dxa"/>
            <w:tcBorders>
              <w:bottom w:val="single" w:sz="4" w:space="0" w:color="auto"/>
            </w:tcBorders>
          </w:tcPr>
          <w:p w14:paraId="74D25BAF" w14:textId="71D65D27" w:rsidR="00AF6E43" w:rsidRPr="00660C67" w:rsidRDefault="00AF6E43" w:rsidP="00EB3DF5">
            <w:pPr>
              <w:pStyle w:val="Default"/>
              <w:rPr>
                <w:sz w:val="18"/>
                <w:szCs w:val="18"/>
              </w:rPr>
            </w:pPr>
            <w:r w:rsidRPr="00660C67">
              <w:rPr>
                <w:sz w:val="18"/>
                <w:szCs w:val="18"/>
              </w:rPr>
              <w:t xml:space="preserve">Gewichtung </w:t>
            </w:r>
          </w:p>
        </w:tc>
        <w:tc>
          <w:tcPr>
            <w:tcW w:w="4258" w:type="dxa"/>
            <w:tcBorders>
              <w:bottom w:val="single" w:sz="4" w:space="0" w:color="auto"/>
            </w:tcBorders>
          </w:tcPr>
          <w:p w14:paraId="45143811" w14:textId="0D702EE1" w:rsidR="00AF6E43" w:rsidRPr="00660C67" w:rsidRDefault="00AF6E43" w:rsidP="00EB3DF5">
            <w:pPr>
              <w:pStyle w:val="Default"/>
              <w:rPr>
                <w:bCs/>
                <w:sz w:val="18"/>
                <w:szCs w:val="18"/>
              </w:rPr>
            </w:pPr>
            <w:r w:rsidRPr="00660C67">
              <w:rPr>
                <w:sz w:val="18"/>
                <w:szCs w:val="18"/>
              </w:rPr>
              <w:t>Mindesterfolg je Beurteilung für eine positive Absolvierung der Lehrveranstaltung im Erstantritt</w:t>
            </w:r>
          </w:p>
        </w:tc>
      </w:tr>
      <w:tr w:rsidR="00AF6E43" w:rsidRPr="00660C67" w14:paraId="7DAB5B1A" w14:textId="77777777" w:rsidTr="000A1D47">
        <w:trPr>
          <w:trHeight w:val="128"/>
        </w:trPr>
        <w:tc>
          <w:tcPr>
            <w:tcW w:w="2461" w:type="dxa"/>
            <w:tcBorders>
              <w:top w:val="single" w:sz="4" w:space="0" w:color="auto"/>
            </w:tcBorders>
          </w:tcPr>
          <w:p w14:paraId="7F73C39A" w14:textId="6F54F896" w:rsidR="00AF6E43" w:rsidRPr="00660C67" w:rsidRDefault="00AF6E43" w:rsidP="00EB3DF5">
            <w:pPr>
              <w:pStyle w:val="Default"/>
              <w:rPr>
                <w:sz w:val="18"/>
                <w:szCs w:val="18"/>
              </w:rPr>
            </w:pPr>
            <w:r w:rsidRPr="00660C67">
              <w:rPr>
                <w:sz w:val="18"/>
                <w:szCs w:val="18"/>
              </w:rPr>
              <w:t>Online Assessment</w:t>
            </w:r>
            <w:r w:rsidR="0006790C">
              <w:rPr>
                <w:sz w:val="18"/>
                <w:szCs w:val="18"/>
              </w:rPr>
              <w:t>/Prüfung</w:t>
            </w:r>
          </w:p>
        </w:tc>
        <w:tc>
          <w:tcPr>
            <w:tcW w:w="2461" w:type="dxa"/>
            <w:tcBorders>
              <w:top w:val="single" w:sz="4" w:space="0" w:color="auto"/>
            </w:tcBorders>
          </w:tcPr>
          <w:p w14:paraId="1723F26B" w14:textId="77777777" w:rsidR="00AF6E43" w:rsidRPr="00660C67" w:rsidRDefault="00AF6E43" w:rsidP="00EB3DF5">
            <w:pPr>
              <w:pStyle w:val="Default"/>
              <w:rPr>
                <w:sz w:val="18"/>
                <w:szCs w:val="18"/>
              </w:rPr>
            </w:pPr>
            <w:r w:rsidRPr="00660C67">
              <w:rPr>
                <w:sz w:val="18"/>
                <w:szCs w:val="18"/>
              </w:rPr>
              <w:t xml:space="preserve">30% </w:t>
            </w:r>
          </w:p>
        </w:tc>
        <w:tc>
          <w:tcPr>
            <w:tcW w:w="4258" w:type="dxa"/>
            <w:tcBorders>
              <w:top w:val="single" w:sz="4" w:space="0" w:color="auto"/>
            </w:tcBorders>
          </w:tcPr>
          <w:p w14:paraId="5917B5EE" w14:textId="4209769F" w:rsidR="00AF6E43" w:rsidRPr="00660C67" w:rsidRDefault="00AF6E43" w:rsidP="00EB3DF5">
            <w:pPr>
              <w:pStyle w:val="Default"/>
              <w:rPr>
                <w:sz w:val="18"/>
                <w:szCs w:val="18"/>
              </w:rPr>
            </w:pPr>
            <w:r w:rsidRPr="00660C67">
              <w:rPr>
                <w:bCs/>
                <w:sz w:val="18"/>
                <w:szCs w:val="18"/>
              </w:rPr>
              <w:t xml:space="preserve">&gt; </w:t>
            </w:r>
            <w:r w:rsidR="00937CD0" w:rsidRPr="00660C67">
              <w:rPr>
                <w:bCs/>
                <w:sz w:val="18"/>
                <w:szCs w:val="18"/>
              </w:rPr>
              <w:t>80</w:t>
            </w:r>
            <w:r w:rsidRPr="00660C67">
              <w:rPr>
                <w:bCs/>
                <w:sz w:val="18"/>
                <w:szCs w:val="18"/>
              </w:rPr>
              <w:t xml:space="preserve">% </w:t>
            </w:r>
          </w:p>
        </w:tc>
      </w:tr>
      <w:tr w:rsidR="0006790C" w:rsidRPr="00660C67" w14:paraId="214517D6" w14:textId="77777777" w:rsidTr="000A1D47">
        <w:trPr>
          <w:trHeight w:val="228"/>
        </w:trPr>
        <w:tc>
          <w:tcPr>
            <w:tcW w:w="2461" w:type="dxa"/>
          </w:tcPr>
          <w:p w14:paraId="31D2E703" w14:textId="27F34102" w:rsidR="0006790C" w:rsidRPr="00660C67" w:rsidRDefault="0006790C" w:rsidP="0006790C">
            <w:pPr>
              <w:pStyle w:val="Default"/>
              <w:rPr>
                <w:sz w:val="18"/>
                <w:szCs w:val="18"/>
              </w:rPr>
            </w:pPr>
            <w:r>
              <w:rPr>
                <w:sz w:val="18"/>
                <w:szCs w:val="18"/>
              </w:rPr>
              <w:t>Permanenter Prüfungscharakter: Mitarbeit, Seminararbeit, Übung, Präsentation</w:t>
            </w:r>
          </w:p>
        </w:tc>
        <w:tc>
          <w:tcPr>
            <w:tcW w:w="2461" w:type="dxa"/>
          </w:tcPr>
          <w:p w14:paraId="4666D04D" w14:textId="77777777" w:rsidR="0006790C" w:rsidRDefault="0006790C" w:rsidP="0006790C">
            <w:pPr>
              <w:pStyle w:val="Default"/>
              <w:rPr>
                <w:sz w:val="18"/>
                <w:szCs w:val="18"/>
              </w:rPr>
            </w:pPr>
          </w:p>
          <w:p w14:paraId="02F52D98" w14:textId="179190A5" w:rsidR="0006790C" w:rsidRPr="00660C67" w:rsidRDefault="0006790C" w:rsidP="0006790C">
            <w:pPr>
              <w:pStyle w:val="Default"/>
              <w:rPr>
                <w:sz w:val="18"/>
                <w:szCs w:val="18"/>
              </w:rPr>
            </w:pPr>
            <w:r w:rsidRPr="00660C67">
              <w:rPr>
                <w:sz w:val="18"/>
                <w:szCs w:val="18"/>
              </w:rPr>
              <w:t xml:space="preserve">30% </w:t>
            </w:r>
          </w:p>
        </w:tc>
        <w:tc>
          <w:tcPr>
            <w:tcW w:w="4258" w:type="dxa"/>
          </w:tcPr>
          <w:p w14:paraId="6D7C8155" w14:textId="77777777" w:rsidR="0006790C" w:rsidRDefault="0006790C" w:rsidP="0006790C">
            <w:pPr>
              <w:pStyle w:val="Default"/>
              <w:rPr>
                <w:bCs/>
                <w:sz w:val="18"/>
                <w:szCs w:val="18"/>
              </w:rPr>
            </w:pPr>
          </w:p>
          <w:p w14:paraId="12E2C8FC" w14:textId="7151E2F3" w:rsidR="0006790C" w:rsidRPr="00660C67" w:rsidRDefault="0006790C" w:rsidP="0006790C">
            <w:pPr>
              <w:pStyle w:val="Default"/>
              <w:rPr>
                <w:sz w:val="18"/>
                <w:szCs w:val="18"/>
              </w:rPr>
            </w:pPr>
            <w:r w:rsidRPr="00660C67">
              <w:rPr>
                <w:bCs/>
                <w:sz w:val="18"/>
                <w:szCs w:val="18"/>
              </w:rPr>
              <w:t xml:space="preserve">&gt; 50% </w:t>
            </w:r>
          </w:p>
        </w:tc>
      </w:tr>
      <w:tr w:rsidR="0006790C" w:rsidRPr="00660C67" w14:paraId="0531776D" w14:textId="77777777" w:rsidTr="000A1D47">
        <w:trPr>
          <w:trHeight w:val="331"/>
        </w:trPr>
        <w:tc>
          <w:tcPr>
            <w:tcW w:w="2461" w:type="dxa"/>
            <w:tcBorders>
              <w:bottom w:val="single" w:sz="4" w:space="0" w:color="auto"/>
            </w:tcBorders>
          </w:tcPr>
          <w:p w14:paraId="72B01E44" w14:textId="77777777" w:rsidR="0006790C" w:rsidRPr="00660C67" w:rsidRDefault="0006790C" w:rsidP="0006790C">
            <w:pPr>
              <w:pStyle w:val="Default"/>
              <w:rPr>
                <w:sz w:val="18"/>
                <w:szCs w:val="18"/>
              </w:rPr>
            </w:pPr>
            <w:r w:rsidRPr="00660C67">
              <w:rPr>
                <w:sz w:val="18"/>
                <w:szCs w:val="18"/>
              </w:rPr>
              <w:t xml:space="preserve">Projektbericht/ -ausarbeitung, -präsentation </w:t>
            </w:r>
          </w:p>
        </w:tc>
        <w:tc>
          <w:tcPr>
            <w:tcW w:w="2461" w:type="dxa"/>
            <w:tcBorders>
              <w:bottom w:val="single" w:sz="4" w:space="0" w:color="auto"/>
            </w:tcBorders>
          </w:tcPr>
          <w:p w14:paraId="61A1E0FC" w14:textId="77777777" w:rsidR="0006790C" w:rsidRDefault="0006790C" w:rsidP="0006790C">
            <w:pPr>
              <w:pStyle w:val="Default"/>
              <w:rPr>
                <w:sz w:val="18"/>
                <w:szCs w:val="18"/>
              </w:rPr>
            </w:pPr>
          </w:p>
          <w:p w14:paraId="69861960" w14:textId="5C7A79DC" w:rsidR="0006790C" w:rsidRPr="00660C67" w:rsidRDefault="0006790C" w:rsidP="0006790C">
            <w:pPr>
              <w:pStyle w:val="Default"/>
              <w:rPr>
                <w:sz w:val="18"/>
                <w:szCs w:val="18"/>
              </w:rPr>
            </w:pPr>
            <w:r w:rsidRPr="00660C67">
              <w:rPr>
                <w:sz w:val="18"/>
                <w:szCs w:val="18"/>
              </w:rPr>
              <w:t xml:space="preserve">40% </w:t>
            </w:r>
          </w:p>
        </w:tc>
        <w:tc>
          <w:tcPr>
            <w:tcW w:w="4258" w:type="dxa"/>
            <w:tcBorders>
              <w:bottom w:val="single" w:sz="4" w:space="0" w:color="auto"/>
            </w:tcBorders>
          </w:tcPr>
          <w:p w14:paraId="4C5958B6" w14:textId="77777777" w:rsidR="0006790C" w:rsidRDefault="0006790C" w:rsidP="0006790C">
            <w:pPr>
              <w:pStyle w:val="Default"/>
              <w:rPr>
                <w:bCs/>
                <w:sz w:val="18"/>
                <w:szCs w:val="18"/>
              </w:rPr>
            </w:pPr>
          </w:p>
          <w:p w14:paraId="58886FAF" w14:textId="1AAD1C61" w:rsidR="0006790C" w:rsidRPr="00660C67" w:rsidRDefault="0006790C" w:rsidP="0006790C">
            <w:pPr>
              <w:pStyle w:val="Default"/>
              <w:rPr>
                <w:sz w:val="18"/>
                <w:szCs w:val="18"/>
              </w:rPr>
            </w:pPr>
            <w:r w:rsidRPr="00660C67">
              <w:rPr>
                <w:bCs/>
                <w:sz w:val="18"/>
                <w:szCs w:val="18"/>
              </w:rPr>
              <w:t>&gt;</w:t>
            </w:r>
            <w:r>
              <w:rPr>
                <w:bCs/>
                <w:sz w:val="18"/>
                <w:szCs w:val="18"/>
              </w:rPr>
              <w:t xml:space="preserve"> </w:t>
            </w:r>
            <w:r w:rsidRPr="00660C67">
              <w:rPr>
                <w:bCs/>
                <w:sz w:val="18"/>
                <w:szCs w:val="18"/>
              </w:rPr>
              <w:t xml:space="preserve">50% </w:t>
            </w:r>
          </w:p>
        </w:tc>
      </w:tr>
      <w:tr w:rsidR="0006790C" w:rsidRPr="00660C67" w14:paraId="10BC8A01" w14:textId="77777777" w:rsidTr="000A1D47">
        <w:trPr>
          <w:trHeight w:val="128"/>
        </w:trPr>
        <w:tc>
          <w:tcPr>
            <w:tcW w:w="2461" w:type="dxa"/>
            <w:tcBorders>
              <w:top w:val="single" w:sz="4" w:space="0" w:color="auto"/>
            </w:tcBorders>
          </w:tcPr>
          <w:p w14:paraId="55BF44D2" w14:textId="77777777" w:rsidR="0006790C" w:rsidRPr="00660C67" w:rsidRDefault="0006790C" w:rsidP="0006790C">
            <w:pPr>
              <w:pStyle w:val="Default"/>
              <w:rPr>
                <w:b/>
                <w:sz w:val="18"/>
                <w:szCs w:val="18"/>
              </w:rPr>
            </w:pPr>
            <w:r w:rsidRPr="00660C67">
              <w:rPr>
                <w:b/>
                <w:bCs/>
                <w:sz w:val="18"/>
                <w:szCs w:val="18"/>
              </w:rPr>
              <w:t xml:space="preserve">Summe </w:t>
            </w:r>
          </w:p>
        </w:tc>
        <w:tc>
          <w:tcPr>
            <w:tcW w:w="2461" w:type="dxa"/>
            <w:tcBorders>
              <w:top w:val="single" w:sz="4" w:space="0" w:color="auto"/>
            </w:tcBorders>
          </w:tcPr>
          <w:p w14:paraId="25C01D48" w14:textId="77777777" w:rsidR="0006790C" w:rsidRPr="00660C67" w:rsidRDefault="0006790C" w:rsidP="0006790C">
            <w:pPr>
              <w:pStyle w:val="Default"/>
              <w:rPr>
                <w:b/>
                <w:sz w:val="18"/>
                <w:szCs w:val="18"/>
              </w:rPr>
            </w:pPr>
            <w:r w:rsidRPr="00660C67">
              <w:rPr>
                <w:b/>
                <w:bCs/>
                <w:sz w:val="18"/>
                <w:szCs w:val="18"/>
              </w:rPr>
              <w:t xml:space="preserve">100% </w:t>
            </w:r>
          </w:p>
        </w:tc>
        <w:tc>
          <w:tcPr>
            <w:tcW w:w="4258" w:type="dxa"/>
            <w:tcBorders>
              <w:top w:val="single" w:sz="4" w:space="0" w:color="auto"/>
            </w:tcBorders>
          </w:tcPr>
          <w:p w14:paraId="563029B3" w14:textId="77777777" w:rsidR="0006790C" w:rsidRPr="00660C67" w:rsidRDefault="0006790C" w:rsidP="0006790C">
            <w:pPr>
              <w:pStyle w:val="Default"/>
              <w:rPr>
                <w:b/>
                <w:sz w:val="18"/>
                <w:szCs w:val="18"/>
              </w:rPr>
            </w:pPr>
            <w:r w:rsidRPr="00660C67">
              <w:rPr>
                <w:b/>
                <w:bCs/>
                <w:sz w:val="18"/>
                <w:szCs w:val="18"/>
              </w:rPr>
              <w:t xml:space="preserve">&gt; 50% </w:t>
            </w:r>
          </w:p>
        </w:tc>
      </w:tr>
    </w:tbl>
    <w:p w14:paraId="67AD5395" w14:textId="77777777" w:rsidR="00AF6E43" w:rsidRPr="00DD6BB3" w:rsidRDefault="00AF6E43" w:rsidP="00DD6BB3">
      <w:pPr>
        <w:pStyle w:val="Default"/>
        <w:jc w:val="both"/>
        <w:rPr>
          <w:color w:val="auto"/>
          <w:sz w:val="22"/>
          <w:szCs w:val="22"/>
        </w:rPr>
      </w:pPr>
    </w:p>
    <w:p w14:paraId="10AB6766" w14:textId="60A7F82B" w:rsidR="00AD31A4" w:rsidRPr="00DD6BB3" w:rsidRDefault="00AF6E43" w:rsidP="00DD6BB3">
      <w:pPr>
        <w:jc w:val="both"/>
      </w:pPr>
      <w:r w:rsidRPr="00F03370">
        <w:t>Davon abweichende Regelungen für die Gesamtbeurteilung werden zu Beginn des Universitätskurses bekanntgegeben.</w:t>
      </w:r>
    </w:p>
    <w:p w14:paraId="26E8785E" w14:textId="77777777" w:rsidR="0006790C" w:rsidRPr="00DD6BB3" w:rsidRDefault="0006790C" w:rsidP="00DD6BB3">
      <w:pPr>
        <w:jc w:val="both"/>
      </w:pPr>
    </w:p>
    <w:p w14:paraId="1AAA7E63" w14:textId="77777777" w:rsidR="00681E2E" w:rsidRPr="00DD6BB3" w:rsidRDefault="00681E2E" w:rsidP="00DD6BB3">
      <w:pPr>
        <w:jc w:val="both"/>
      </w:pPr>
    </w:p>
    <w:bookmarkEnd w:id="1"/>
    <w:p w14:paraId="19BF56A3" w14:textId="11D54E57" w:rsidR="00AD31A4" w:rsidRPr="00DD6BB3" w:rsidRDefault="00AD31A4" w:rsidP="00DD6BB3">
      <w:pPr>
        <w:jc w:val="both"/>
      </w:pPr>
      <w:r w:rsidRPr="00DD6BB3">
        <w:rPr>
          <w:b/>
          <w:bCs/>
        </w:rPr>
        <w:t xml:space="preserve">§ 2 </w:t>
      </w:r>
      <w:r w:rsidRPr="00DD6BB3">
        <w:rPr>
          <w:b/>
          <w:bCs/>
        </w:rPr>
        <w:tab/>
        <w:t>Dauer, Gliederung und Umfang</w:t>
      </w:r>
      <w:r w:rsidRPr="00DD6BB3">
        <w:t xml:space="preserve"> (in ECTS-Anrechnungspunkten)</w:t>
      </w:r>
    </w:p>
    <w:p w14:paraId="5C6B674E" w14:textId="77777777" w:rsidR="00AD31A4" w:rsidRPr="00DD6BB3" w:rsidRDefault="00AD31A4" w:rsidP="00DD6BB3">
      <w:pPr>
        <w:jc w:val="both"/>
      </w:pPr>
    </w:p>
    <w:p w14:paraId="65213559" w14:textId="6448E655" w:rsidR="00AF6E43" w:rsidRDefault="00AF6E43" w:rsidP="00DD6BB3">
      <w:pPr>
        <w:jc w:val="both"/>
      </w:pPr>
      <w:r w:rsidRPr="00F03370">
        <w:t xml:space="preserve">Der Universitätskurs besteht aus den unter § 4 aufgeführten Lehrinhalten und umfasst die </w:t>
      </w:r>
      <w:r w:rsidR="00937CD0" w:rsidRPr="00F03370">
        <w:t xml:space="preserve">theoretische Vorbereitung </w:t>
      </w:r>
      <w:r w:rsidRPr="00F03370">
        <w:t xml:space="preserve">mit </w:t>
      </w:r>
      <w:r w:rsidR="0006790C" w:rsidRPr="00F03370">
        <w:t>125</w:t>
      </w:r>
      <w:r w:rsidR="0052282F" w:rsidRPr="00F03370">
        <w:t xml:space="preserve"> </w:t>
      </w:r>
      <w:r w:rsidRPr="00F03370">
        <w:t>Stunden</w:t>
      </w:r>
      <w:r w:rsidR="0052282F" w:rsidRPr="00F03370">
        <w:t xml:space="preserve"> (</w:t>
      </w:r>
      <w:r w:rsidR="0006790C" w:rsidRPr="00F03370">
        <w:t>5</w:t>
      </w:r>
      <w:r w:rsidR="0052282F" w:rsidRPr="00F03370">
        <w:t xml:space="preserve"> ECTS)</w:t>
      </w:r>
      <w:r w:rsidRPr="00F03370">
        <w:t xml:space="preserve">, </w:t>
      </w:r>
      <w:r w:rsidR="0052282F" w:rsidRPr="00F03370">
        <w:t xml:space="preserve">den Aufwand in den Präsenzeinheiten </w:t>
      </w:r>
      <w:r w:rsidR="0006790C" w:rsidRPr="00F03370">
        <w:t>125</w:t>
      </w:r>
      <w:r w:rsidR="0052282F" w:rsidRPr="00F03370">
        <w:t xml:space="preserve"> Stunden (</w:t>
      </w:r>
      <w:r w:rsidR="0006790C" w:rsidRPr="00F03370">
        <w:t>5</w:t>
      </w:r>
      <w:r w:rsidR="0052282F" w:rsidRPr="00F03370">
        <w:t xml:space="preserve"> ECTS)</w:t>
      </w:r>
      <w:r w:rsidRPr="00F03370">
        <w:t xml:space="preserve"> und der Erstellung eines Transferprojekts mit </w:t>
      </w:r>
      <w:r w:rsidR="0052282F" w:rsidRPr="00F03370">
        <w:t>125</w:t>
      </w:r>
      <w:r w:rsidRPr="00F03370">
        <w:t xml:space="preserve"> Stunden</w:t>
      </w:r>
      <w:r w:rsidR="0052282F" w:rsidRPr="00F03370">
        <w:t xml:space="preserve"> (</w:t>
      </w:r>
      <w:r w:rsidR="0006790C" w:rsidRPr="00F03370">
        <w:t>5</w:t>
      </w:r>
      <w:r w:rsidR="0052282F" w:rsidRPr="00F03370">
        <w:t xml:space="preserve"> ECTS)</w:t>
      </w:r>
      <w:r w:rsidRPr="00F03370">
        <w:t xml:space="preserve">. Insgesamt beinhaltet der Universitätskurs </w:t>
      </w:r>
      <w:r w:rsidR="0052282F" w:rsidRPr="00F03370">
        <w:t>375</w:t>
      </w:r>
      <w:r w:rsidRPr="00F03370">
        <w:t xml:space="preserve"> Stunden (</w:t>
      </w:r>
      <w:r w:rsidR="0052282F" w:rsidRPr="00F03370">
        <w:t>15</w:t>
      </w:r>
      <w:r w:rsidRPr="00F03370">
        <w:t xml:space="preserve"> ECTS</w:t>
      </w:r>
      <w:r w:rsidR="003D0CFB">
        <w:t>)</w:t>
      </w:r>
      <w:r w:rsidRPr="00F03370">
        <w:t>.</w:t>
      </w:r>
    </w:p>
    <w:p w14:paraId="5BFE9E43" w14:textId="77777777" w:rsidR="00AF6E43" w:rsidRDefault="00AF6E43" w:rsidP="00DD6BB3">
      <w:pPr>
        <w:jc w:val="both"/>
      </w:pPr>
      <w:bookmarkStart w:id="2" w:name="_Hlk160698871"/>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988"/>
        <w:gridCol w:w="4111"/>
      </w:tblGrid>
      <w:tr w:rsidR="00AF6E43" w14:paraId="7AE691D1" w14:textId="77777777" w:rsidTr="000A1D47">
        <w:trPr>
          <w:trHeight w:val="233"/>
        </w:trPr>
        <w:tc>
          <w:tcPr>
            <w:tcW w:w="4988" w:type="dxa"/>
            <w:tcBorders>
              <w:top w:val="nil"/>
              <w:left w:val="nil"/>
              <w:bottom w:val="single" w:sz="4" w:space="0" w:color="auto"/>
              <w:right w:val="nil"/>
            </w:tcBorders>
          </w:tcPr>
          <w:p w14:paraId="3C987215" w14:textId="77777777" w:rsidR="00AF6E43" w:rsidRPr="000A1D47" w:rsidRDefault="00AF6E43" w:rsidP="00EB3DF5">
            <w:pPr>
              <w:pStyle w:val="Default"/>
              <w:rPr>
                <w:b/>
                <w:sz w:val="18"/>
                <w:szCs w:val="18"/>
              </w:rPr>
            </w:pPr>
            <w:r w:rsidRPr="000A1D47">
              <w:rPr>
                <w:b/>
                <w:sz w:val="18"/>
                <w:szCs w:val="18"/>
              </w:rPr>
              <w:t xml:space="preserve">Pro Modul </w:t>
            </w:r>
          </w:p>
        </w:tc>
        <w:tc>
          <w:tcPr>
            <w:tcW w:w="4111" w:type="dxa"/>
            <w:tcBorders>
              <w:top w:val="nil"/>
              <w:left w:val="nil"/>
              <w:bottom w:val="single" w:sz="4" w:space="0" w:color="auto"/>
              <w:right w:val="nil"/>
            </w:tcBorders>
          </w:tcPr>
          <w:p w14:paraId="3F5D5730" w14:textId="69B76841" w:rsidR="00AF6E43" w:rsidRPr="000A1D47" w:rsidRDefault="00AF6E43" w:rsidP="00EB3DF5">
            <w:pPr>
              <w:pStyle w:val="Default"/>
              <w:rPr>
                <w:b/>
                <w:sz w:val="18"/>
                <w:szCs w:val="18"/>
              </w:rPr>
            </w:pPr>
            <w:r w:rsidRPr="000A1D47">
              <w:rPr>
                <w:b/>
                <w:sz w:val="18"/>
                <w:szCs w:val="18"/>
              </w:rPr>
              <w:t>Geschätzter voraussichtlicher Zeitaufwand in Stunden zu</w:t>
            </w:r>
            <w:r w:rsidR="00260733">
              <w:rPr>
                <w:b/>
                <w:sz w:val="18"/>
                <w:szCs w:val="18"/>
              </w:rPr>
              <w:t xml:space="preserve"> je</w:t>
            </w:r>
            <w:r w:rsidRPr="000A1D47">
              <w:rPr>
                <w:b/>
                <w:sz w:val="18"/>
                <w:szCs w:val="18"/>
              </w:rPr>
              <w:t xml:space="preserve"> 60 Minuten </w:t>
            </w:r>
          </w:p>
        </w:tc>
      </w:tr>
      <w:tr w:rsidR="00AF6E43" w14:paraId="4ABC4B94" w14:textId="77777777" w:rsidTr="000A1D47">
        <w:trPr>
          <w:trHeight w:val="122"/>
        </w:trPr>
        <w:tc>
          <w:tcPr>
            <w:tcW w:w="4988" w:type="dxa"/>
            <w:tcBorders>
              <w:top w:val="single" w:sz="4" w:space="0" w:color="auto"/>
              <w:bottom w:val="none" w:sz="6" w:space="0" w:color="auto"/>
              <w:right w:val="none" w:sz="6" w:space="0" w:color="auto"/>
            </w:tcBorders>
          </w:tcPr>
          <w:p w14:paraId="7A7506C4" w14:textId="2E43A6C6" w:rsidR="00AF6E43" w:rsidRDefault="00AF6E43" w:rsidP="00EB3DF5">
            <w:pPr>
              <w:pStyle w:val="Default"/>
              <w:rPr>
                <w:sz w:val="18"/>
                <w:szCs w:val="18"/>
              </w:rPr>
            </w:pPr>
            <w:r>
              <w:rPr>
                <w:sz w:val="18"/>
                <w:szCs w:val="18"/>
              </w:rPr>
              <w:t>E-Learning</w:t>
            </w:r>
            <w:r w:rsidR="0052282F">
              <w:rPr>
                <w:sz w:val="18"/>
                <w:szCs w:val="18"/>
              </w:rPr>
              <w:t xml:space="preserve"> </w:t>
            </w:r>
          </w:p>
        </w:tc>
        <w:tc>
          <w:tcPr>
            <w:tcW w:w="4111" w:type="dxa"/>
            <w:tcBorders>
              <w:top w:val="single" w:sz="4" w:space="0" w:color="auto"/>
              <w:left w:val="none" w:sz="6" w:space="0" w:color="auto"/>
              <w:bottom w:val="none" w:sz="6" w:space="0" w:color="auto"/>
            </w:tcBorders>
          </w:tcPr>
          <w:p w14:paraId="7691998A" w14:textId="40FE5CC0" w:rsidR="00AF6E43" w:rsidRDefault="0006790C" w:rsidP="00EB3DF5">
            <w:pPr>
              <w:pStyle w:val="Default"/>
              <w:rPr>
                <w:sz w:val="18"/>
                <w:szCs w:val="18"/>
              </w:rPr>
            </w:pPr>
            <w:r>
              <w:rPr>
                <w:sz w:val="18"/>
                <w:szCs w:val="18"/>
              </w:rPr>
              <w:t>125</w:t>
            </w:r>
            <w:r w:rsidR="00AF6E43">
              <w:rPr>
                <w:sz w:val="18"/>
                <w:szCs w:val="18"/>
              </w:rPr>
              <w:t xml:space="preserve"> </w:t>
            </w:r>
          </w:p>
        </w:tc>
      </w:tr>
      <w:tr w:rsidR="00AF6E43" w14:paraId="41689C7A" w14:textId="77777777" w:rsidTr="000A1D47">
        <w:trPr>
          <w:trHeight w:val="122"/>
        </w:trPr>
        <w:tc>
          <w:tcPr>
            <w:tcW w:w="4988" w:type="dxa"/>
            <w:tcBorders>
              <w:top w:val="none" w:sz="6" w:space="0" w:color="auto"/>
              <w:bottom w:val="none" w:sz="6" w:space="0" w:color="auto"/>
              <w:right w:val="none" w:sz="6" w:space="0" w:color="auto"/>
            </w:tcBorders>
          </w:tcPr>
          <w:p w14:paraId="34AC3DC4" w14:textId="20B0DA43" w:rsidR="00AF6E43" w:rsidRDefault="0052282F" w:rsidP="00EB3DF5">
            <w:pPr>
              <w:pStyle w:val="Default"/>
              <w:rPr>
                <w:sz w:val="18"/>
                <w:szCs w:val="18"/>
              </w:rPr>
            </w:pPr>
            <w:r>
              <w:rPr>
                <w:sz w:val="18"/>
                <w:szCs w:val="18"/>
              </w:rPr>
              <w:t xml:space="preserve">Präsenzeinheiten </w:t>
            </w:r>
            <w:r w:rsidR="00AF6E43">
              <w:rPr>
                <w:sz w:val="18"/>
                <w:szCs w:val="18"/>
              </w:rPr>
              <w:t xml:space="preserve"> </w:t>
            </w:r>
          </w:p>
        </w:tc>
        <w:tc>
          <w:tcPr>
            <w:tcW w:w="4111" w:type="dxa"/>
            <w:tcBorders>
              <w:top w:val="none" w:sz="6" w:space="0" w:color="auto"/>
              <w:left w:val="none" w:sz="6" w:space="0" w:color="auto"/>
              <w:bottom w:val="none" w:sz="6" w:space="0" w:color="auto"/>
            </w:tcBorders>
          </w:tcPr>
          <w:p w14:paraId="4ECA493E" w14:textId="3E9C5314" w:rsidR="00AF6E43" w:rsidRDefault="0006790C" w:rsidP="00EB3DF5">
            <w:pPr>
              <w:pStyle w:val="Default"/>
              <w:rPr>
                <w:sz w:val="18"/>
                <w:szCs w:val="18"/>
              </w:rPr>
            </w:pPr>
            <w:r>
              <w:rPr>
                <w:sz w:val="18"/>
                <w:szCs w:val="18"/>
              </w:rPr>
              <w:t>125</w:t>
            </w:r>
          </w:p>
        </w:tc>
      </w:tr>
      <w:tr w:rsidR="0052282F" w14:paraId="1DEA4F8B" w14:textId="77777777" w:rsidTr="000A1D47">
        <w:trPr>
          <w:trHeight w:val="122"/>
        </w:trPr>
        <w:tc>
          <w:tcPr>
            <w:tcW w:w="4988" w:type="dxa"/>
            <w:tcBorders>
              <w:top w:val="none" w:sz="6" w:space="0" w:color="auto"/>
              <w:bottom w:val="single" w:sz="4" w:space="0" w:color="auto"/>
              <w:right w:val="none" w:sz="6" w:space="0" w:color="auto"/>
            </w:tcBorders>
          </w:tcPr>
          <w:p w14:paraId="6547BCB3" w14:textId="7A4251F7" w:rsidR="0052282F" w:rsidRDefault="0052282F" w:rsidP="00EB3DF5">
            <w:pPr>
              <w:pStyle w:val="Default"/>
              <w:rPr>
                <w:sz w:val="18"/>
                <w:szCs w:val="18"/>
              </w:rPr>
            </w:pPr>
            <w:r>
              <w:rPr>
                <w:sz w:val="18"/>
                <w:szCs w:val="18"/>
              </w:rPr>
              <w:t xml:space="preserve">Transferprojekt </w:t>
            </w:r>
          </w:p>
        </w:tc>
        <w:tc>
          <w:tcPr>
            <w:tcW w:w="4111" w:type="dxa"/>
            <w:tcBorders>
              <w:top w:val="none" w:sz="6" w:space="0" w:color="auto"/>
              <w:left w:val="none" w:sz="6" w:space="0" w:color="auto"/>
              <w:bottom w:val="single" w:sz="4" w:space="0" w:color="auto"/>
            </w:tcBorders>
          </w:tcPr>
          <w:p w14:paraId="0C1F0AB4" w14:textId="34F8899F" w:rsidR="0052282F" w:rsidRDefault="0006790C" w:rsidP="00EB3DF5">
            <w:pPr>
              <w:pStyle w:val="Default"/>
              <w:rPr>
                <w:sz w:val="18"/>
                <w:szCs w:val="18"/>
              </w:rPr>
            </w:pPr>
            <w:r>
              <w:rPr>
                <w:sz w:val="18"/>
                <w:szCs w:val="18"/>
              </w:rPr>
              <w:t>125</w:t>
            </w:r>
          </w:p>
        </w:tc>
      </w:tr>
      <w:tr w:rsidR="0052282F" w14:paraId="000707C4" w14:textId="77777777" w:rsidTr="000A1D47">
        <w:trPr>
          <w:trHeight w:val="226"/>
        </w:trPr>
        <w:tc>
          <w:tcPr>
            <w:tcW w:w="4988" w:type="dxa"/>
            <w:tcBorders>
              <w:top w:val="single" w:sz="4" w:space="0" w:color="auto"/>
              <w:left w:val="nil"/>
              <w:bottom w:val="nil"/>
              <w:right w:val="nil"/>
            </w:tcBorders>
          </w:tcPr>
          <w:p w14:paraId="40FA4B28" w14:textId="34BBF388" w:rsidR="0052282F" w:rsidRPr="000A1D47" w:rsidRDefault="0052282F" w:rsidP="00EB3DF5">
            <w:pPr>
              <w:pStyle w:val="Default"/>
              <w:rPr>
                <w:b/>
                <w:sz w:val="18"/>
                <w:szCs w:val="18"/>
              </w:rPr>
            </w:pPr>
            <w:r w:rsidRPr="000A1D47">
              <w:rPr>
                <w:b/>
                <w:sz w:val="18"/>
                <w:szCs w:val="18"/>
              </w:rPr>
              <w:t xml:space="preserve">Summe </w:t>
            </w:r>
          </w:p>
        </w:tc>
        <w:tc>
          <w:tcPr>
            <w:tcW w:w="4111" w:type="dxa"/>
            <w:tcBorders>
              <w:top w:val="single" w:sz="4" w:space="0" w:color="auto"/>
              <w:left w:val="nil"/>
              <w:bottom w:val="nil"/>
              <w:right w:val="nil"/>
            </w:tcBorders>
          </w:tcPr>
          <w:p w14:paraId="5D221831" w14:textId="33FC86B6" w:rsidR="0052282F" w:rsidRPr="000A1D47" w:rsidRDefault="0052282F" w:rsidP="00EB3DF5">
            <w:pPr>
              <w:pStyle w:val="Default"/>
              <w:rPr>
                <w:b/>
                <w:sz w:val="18"/>
                <w:szCs w:val="18"/>
              </w:rPr>
            </w:pPr>
            <w:r w:rsidRPr="000A1D47">
              <w:rPr>
                <w:b/>
                <w:sz w:val="18"/>
                <w:szCs w:val="18"/>
              </w:rPr>
              <w:t>375</w:t>
            </w:r>
          </w:p>
        </w:tc>
      </w:tr>
    </w:tbl>
    <w:p w14:paraId="4D187496" w14:textId="77777777" w:rsidR="00AF6E43" w:rsidRPr="00007EB1" w:rsidRDefault="00AF6E43" w:rsidP="00EB3DF5"/>
    <w:p w14:paraId="7786694A" w14:textId="77777777" w:rsidR="00AD31A4" w:rsidRPr="00007EB1" w:rsidRDefault="00AD31A4" w:rsidP="00EB3DF5"/>
    <w:bookmarkEnd w:id="2"/>
    <w:p w14:paraId="7A823F14" w14:textId="77777777" w:rsidR="00AD31A4" w:rsidRPr="00007EB1" w:rsidRDefault="00AD31A4" w:rsidP="001D1688">
      <w:pPr>
        <w:jc w:val="both"/>
        <w:rPr>
          <w:b/>
          <w:bCs/>
        </w:rPr>
      </w:pPr>
      <w:r w:rsidRPr="00007EB1">
        <w:rPr>
          <w:b/>
          <w:bCs/>
        </w:rPr>
        <w:t xml:space="preserve">§ 3 </w:t>
      </w:r>
      <w:r w:rsidRPr="00007EB1">
        <w:rPr>
          <w:b/>
          <w:bCs/>
        </w:rPr>
        <w:tab/>
        <w:t>Zugangsvoraussetzungen und Auswahlverfahren</w:t>
      </w:r>
    </w:p>
    <w:p w14:paraId="71BAE490" w14:textId="77777777" w:rsidR="00AD31A4" w:rsidRPr="00007EB1" w:rsidRDefault="00AD31A4" w:rsidP="001D1688">
      <w:pPr>
        <w:jc w:val="both"/>
      </w:pPr>
    </w:p>
    <w:p w14:paraId="212FC33E" w14:textId="141B4F45" w:rsidR="00AD31A4" w:rsidRPr="00007EB1" w:rsidRDefault="00AD31A4" w:rsidP="001D1688">
      <w:pPr>
        <w:jc w:val="both"/>
      </w:pPr>
      <w:r w:rsidRPr="00F03370">
        <w:t xml:space="preserve">Die Unterrichtssprache ist </w:t>
      </w:r>
      <w:r w:rsidR="00C060AD" w:rsidRPr="00F03370">
        <w:t>Deutsch.</w:t>
      </w:r>
    </w:p>
    <w:p w14:paraId="4061F6CB" w14:textId="01700465" w:rsidR="00362598" w:rsidRPr="00007EB1" w:rsidRDefault="00362598" w:rsidP="001D1688">
      <w:pPr>
        <w:jc w:val="both"/>
      </w:pPr>
    </w:p>
    <w:p w14:paraId="62EFC6EB" w14:textId="5C696A4C" w:rsidR="002662E3" w:rsidRPr="00007EB1" w:rsidRDefault="002662E3" w:rsidP="001D1688">
      <w:pPr>
        <w:jc w:val="both"/>
      </w:pPr>
      <w:r w:rsidRPr="00007EB1">
        <w:t xml:space="preserve">Das Auswahlverfahren erfolgt nach vorgelegten Qualifikationsnachweisen. Voraussetzung für die Zulassung zum Universitätskurs „Grundlagen Holzbau“ ist die Erfüllung einer der folgenden Qualifikationen: </w:t>
      </w:r>
    </w:p>
    <w:p w14:paraId="23AF0787" w14:textId="77777777" w:rsidR="002662E3" w:rsidRPr="00007EB1" w:rsidRDefault="002662E3" w:rsidP="001D1688">
      <w:pPr>
        <w:pStyle w:val="Listenabsatz"/>
        <w:numPr>
          <w:ilvl w:val="0"/>
          <w:numId w:val="22"/>
        </w:numPr>
        <w:jc w:val="both"/>
      </w:pPr>
      <w:r w:rsidRPr="00007EB1">
        <w:t>Abgeschlossenes Studium im Bereich Architektur/Bauingenieurwesen</w:t>
      </w:r>
    </w:p>
    <w:p w14:paraId="0CC09DF0" w14:textId="77777777" w:rsidR="002662E3" w:rsidRPr="00007EB1" w:rsidRDefault="002662E3" w:rsidP="001D1688">
      <w:pPr>
        <w:pStyle w:val="Listenabsatz"/>
        <w:numPr>
          <w:ilvl w:val="0"/>
          <w:numId w:val="22"/>
        </w:numPr>
        <w:jc w:val="both"/>
      </w:pPr>
      <w:r w:rsidRPr="00007EB1">
        <w:t>Abgeschlossene Meisterprüfung im Bereich Holzbau</w:t>
      </w:r>
    </w:p>
    <w:p w14:paraId="5477B623" w14:textId="219EB7D2" w:rsidR="002662E3" w:rsidRPr="00007EB1" w:rsidRDefault="002662E3" w:rsidP="001D1688">
      <w:pPr>
        <w:pStyle w:val="Listenabsatz"/>
        <w:numPr>
          <w:ilvl w:val="0"/>
          <w:numId w:val="22"/>
        </w:numPr>
        <w:jc w:val="both"/>
      </w:pPr>
      <w:r w:rsidRPr="00007EB1">
        <w:t>Abgeschlossene Baumeisterprüfung</w:t>
      </w:r>
    </w:p>
    <w:p w14:paraId="416536B0" w14:textId="77777777" w:rsidR="002662E3" w:rsidRPr="00007EB1" w:rsidRDefault="002662E3" w:rsidP="001D1688">
      <w:pPr>
        <w:jc w:val="both"/>
      </w:pPr>
    </w:p>
    <w:p w14:paraId="4DF25690" w14:textId="3E3B3341" w:rsidR="00AD31A4" w:rsidRPr="00007EB1" w:rsidRDefault="00AD31A4" w:rsidP="001D1688">
      <w:pPr>
        <w:jc w:val="both"/>
      </w:pPr>
      <w:r w:rsidRPr="00007EB1">
        <w:t xml:space="preserve">Die Entscheidung über die Aufnahme erfolgt durch die </w:t>
      </w:r>
      <w:r w:rsidR="002662E3" w:rsidRPr="00007EB1">
        <w:t>wissenschaftliche Kurs</w:t>
      </w:r>
      <w:r w:rsidRPr="00007EB1">
        <w:t>leitung auf Basis der vorgelegten Qualifizierungen.</w:t>
      </w:r>
      <w:r w:rsidR="00C060AD" w:rsidRPr="00007EB1">
        <w:t xml:space="preserve"> </w:t>
      </w:r>
    </w:p>
    <w:p w14:paraId="64EFB00C" w14:textId="77777777" w:rsidR="00AD31A4" w:rsidRPr="00007EB1" w:rsidRDefault="00AD31A4" w:rsidP="001D1688">
      <w:pPr>
        <w:jc w:val="both"/>
      </w:pPr>
    </w:p>
    <w:p w14:paraId="231CBF98" w14:textId="2C356375" w:rsidR="00AD31A4" w:rsidRPr="00007EB1" w:rsidRDefault="002662E3" w:rsidP="001D1688">
      <w:pPr>
        <w:jc w:val="both"/>
      </w:pPr>
      <w:r w:rsidRPr="00007EB1">
        <w:t>Die maximale Anzahl an Teilnehmerinnen und Teilnehmern beträgt 2</w:t>
      </w:r>
      <w:r w:rsidR="003D0CFB">
        <w:t>0</w:t>
      </w:r>
      <w:r w:rsidRPr="00007EB1">
        <w:t>.</w:t>
      </w:r>
    </w:p>
    <w:p w14:paraId="40C7BB7B" w14:textId="77777777" w:rsidR="00DD6BB3" w:rsidRDefault="00DD6BB3">
      <w:pPr>
        <w:rPr>
          <w:b/>
          <w:bCs/>
        </w:rPr>
      </w:pPr>
      <w:r>
        <w:rPr>
          <w:b/>
          <w:bCs/>
        </w:rPr>
        <w:br w:type="page"/>
      </w:r>
    </w:p>
    <w:p w14:paraId="20EEE377" w14:textId="7A419395" w:rsidR="00AD31A4" w:rsidRPr="00007EB1" w:rsidRDefault="00AD31A4" w:rsidP="00EB3DF5">
      <w:pPr>
        <w:rPr>
          <w:b/>
          <w:bCs/>
        </w:rPr>
      </w:pPr>
      <w:r w:rsidRPr="00007EB1">
        <w:rPr>
          <w:b/>
          <w:bCs/>
        </w:rPr>
        <w:lastRenderedPageBreak/>
        <w:t>§ 4</w:t>
      </w:r>
      <w:r w:rsidRPr="00007EB1">
        <w:rPr>
          <w:b/>
          <w:bCs/>
        </w:rPr>
        <w:tab/>
        <w:t>Unterrichtsplan</w:t>
      </w:r>
      <w:r w:rsidR="00362598" w:rsidRPr="00007EB1">
        <w:rPr>
          <w:b/>
          <w:bCs/>
        </w:rPr>
        <w:t xml:space="preserve"> (ECTS/ Stunden/ LV/ Module etc.)</w:t>
      </w:r>
    </w:p>
    <w:p w14:paraId="27B4BFB1" w14:textId="49703D5E" w:rsidR="00167026" w:rsidRPr="00DE6CF6" w:rsidRDefault="00167026" w:rsidP="00EB3DF5">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618"/>
        <w:gridCol w:w="1039"/>
      </w:tblGrid>
      <w:tr w:rsidR="002B168C" w:rsidRPr="00296321" w14:paraId="732C82DA" w14:textId="77777777" w:rsidTr="00A4183D">
        <w:tc>
          <w:tcPr>
            <w:tcW w:w="1327" w:type="pct"/>
          </w:tcPr>
          <w:p w14:paraId="0433E804" w14:textId="77777777" w:rsidR="002B168C" w:rsidRPr="00296321" w:rsidRDefault="002B168C" w:rsidP="00EB3DF5">
            <w:pPr>
              <w:rPr>
                <w:b/>
                <w:bCs/>
                <w:color w:val="000000" w:themeColor="text1"/>
                <w:sz w:val="20"/>
                <w:szCs w:val="20"/>
              </w:rPr>
            </w:pPr>
            <w:bookmarkStart w:id="3" w:name="_Hlk141443843"/>
            <w:r w:rsidRPr="007554A1">
              <w:rPr>
                <w:b/>
                <w:bCs/>
                <w:color w:val="000000" w:themeColor="text1"/>
              </w:rPr>
              <w:t>Module – Lehrveranstaltungen</w:t>
            </w:r>
          </w:p>
        </w:tc>
        <w:tc>
          <w:tcPr>
            <w:tcW w:w="3100" w:type="pct"/>
          </w:tcPr>
          <w:p w14:paraId="56589D05" w14:textId="459FF2F4" w:rsidR="002B168C" w:rsidRPr="002962D9" w:rsidRDefault="002B168C" w:rsidP="00EB3DF5">
            <w:pPr>
              <w:rPr>
                <w:b/>
                <w:bCs/>
                <w:color w:val="000000" w:themeColor="text1"/>
                <w:sz w:val="20"/>
                <w:szCs w:val="20"/>
              </w:rPr>
            </w:pPr>
            <w:r>
              <w:rPr>
                <w:b/>
                <w:bCs/>
                <w:color w:val="000000" w:themeColor="text1"/>
              </w:rPr>
              <w:t>Inhalte und Kompetenzen</w:t>
            </w:r>
          </w:p>
        </w:tc>
        <w:tc>
          <w:tcPr>
            <w:tcW w:w="573" w:type="pct"/>
            <w:shd w:val="clear" w:color="auto" w:fill="auto"/>
          </w:tcPr>
          <w:p w14:paraId="509BDDEF" w14:textId="77777777" w:rsidR="002B168C" w:rsidRPr="007554A1" w:rsidRDefault="002B168C" w:rsidP="00EB3DF5">
            <w:pPr>
              <w:rPr>
                <w:b/>
                <w:bCs/>
                <w:color w:val="000000" w:themeColor="text1"/>
              </w:rPr>
            </w:pPr>
            <w:r w:rsidRPr="007554A1">
              <w:rPr>
                <w:b/>
                <w:bCs/>
                <w:color w:val="000000" w:themeColor="text1"/>
              </w:rPr>
              <w:t>ECTS-</w:t>
            </w:r>
          </w:p>
          <w:p w14:paraId="069DEA27" w14:textId="77777777" w:rsidR="002B168C" w:rsidRPr="002962D9" w:rsidRDefault="002B168C" w:rsidP="00EB3DF5">
            <w:pPr>
              <w:rPr>
                <w:b/>
                <w:bCs/>
                <w:color w:val="000000" w:themeColor="text1"/>
                <w:sz w:val="20"/>
                <w:szCs w:val="20"/>
              </w:rPr>
            </w:pPr>
            <w:r w:rsidRPr="007554A1">
              <w:rPr>
                <w:b/>
                <w:bCs/>
                <w:color w:val="000000" w:themeColor="text1"/>
              </w:rPr>
              <w:t>Punkte</w:t>
            </w:r>
          </w:p>
        </w:tc>
      </w:tr>
      <w:tr w:rsidR="002B168C" w:rsidRPr="00296321" w14:paraId="2DD940A3" w14:textId="77777777" w:rsidTr="00A4183D">
        <w:tc>
          <w:tcPr>
            <w:tcW w:w="1327" w:type="pct"/>
          </w:tcPr>
          <w:p w14:paraId="0DA4D73D" w14:textId="4FA2EB7E" w:rsidR="002B168C" w:rsidRPr="00DE6CF6" w:rsidRDefault="002B168C" w:rsidP="00EB3DF5">
            <w:pPr>
              <w:tabs>
                <w:tab w:val="left" w:pos="3254"/>
              </w:tabs>
              <w:contextualSpacing/>
              <w:rPr>
                <w:b/>
                <w:bCs/>
                <w:color w:val="000000" w:themeColor="text1"/>
              </w:rPr>
            </w:pPr>
            <w:r w:rsidRPr="00DE6CF6">
              <w:rPr>
                <w:b/>
                <w:bCs/>
                <w:color w:val="000000" w:themeColor="text1"/>
              </w:rPr>
              <w:t>Grundlagen Holzbau</w:t>
            </w:r>
          </w:p>
        </w:tc>
        <w:tc>
          <w:tcPr>
            <w:tcW w:w="3100" w:type="pct"/>
          </w:tcPr>
          <w:p w14:paraId="07E20453" w14:textId="77777777" w:rsidR="002B168C" w:rsidRDefault="002B168C" w:rsidP="00EB3DF5">
            <w:pPr>
              <w:rPr>
                <w:color w:val="000000" w:themeColor="text1"/>
                <w:sz w:val="20"/>
                <w:szCs w:val="20"/>
              </w:rPr>
            </w:pPr>
          </w:p>
        </w:tc>
        <w:tc>
          <w:tcPr>
            <w:tcW w:w="573" w:type="pct"/>
            <w:shd w:val="clear" w:color="auto" w:fill="auto"/>
          </w:tcPr>
          <w:p w14:paraId="35E5040D" w14:textId="77777777" w:rsidR="002B168C" w:rsidRPr="002962D9" w:rsidRDefault="002B168C" w:rsidP="005B112A">
            <w:pPr>
              <w:jc w:val="center"/>
              <w:rPr>
                <w:b/>
                <w:color w:val="000000" w:themeColor="text1"/>
                <w:sz w:val="20"/>
                <w:szCs w:val="20"/>
              </w:rPr>
            </w:pPr>
            <w:r>
              <w:rPr>
                <w:b/>
                <w:color w:val="000000" w:themeColor="text1"/>
                <w:sz w:val="20"/>
                <w:szCs w:val="20"/>
              </w:rPr>
              <w:t>15</w:t>
            </w:r>
          </w:p>
        </w:tc>
      </w:tr>
      <w:tr w:rsidR="002B168C" w:rsidRPr="00296321" w14:paraId="189F3599" w14:textId="77777777" w:rsidTr="00A4183D">
        <w:tc>
          <w:tcPr>
            <w:tcW w:w="1327" w:type="pct"/>
          </w:tcPr>
          <w:p w14:paraId="06EDD513" w14:textId="77777777" w:rsidR="002B168C" w:rsidRDefault="002B168C" w:rsidP="00EB3DF5">
            <w:pPr>
              <w:tabs>
                <w:tab w:val="left" w:pos="3254"/>
              </w:tabs>
              <w:contextualSpacing/>
            </w:pPr>
            <w:r>
              <w:t xml:space="preserve">Modul 1: </w:t>
            </w:r>
          </w:p>
          <w:p w14:paraId="029185DC" w14:textId="6143F3D3" w:rsidR="002B168C" w:rsidRPr="00296321" w:rsidRDefault="002B168C" w:rsidP="00EB3DF5">
            <w:pPr>
              <w:tabs>
                <w:tab w:val="left" w:pos="3254"/>
              </w:tabs>
              <w:contextualSpacing/>
              <w:rPr>
                <w:color w:val="000000" w:themeColor="text1"/>
                <w:sz w:val="20"/>
                <w:szCs w:val="20"/>
              </w:rPr>
            </w:pPr>
            <w:r>
              <w:t>Baustoff Holz</w:t>
            </w:r>
          </w:p>
        </w:tc>
        <w:tc>
          <w:tcPr>
            <w:tcW w:w="3100" w:type="pct"/>
          </w:tcPr>
          <w:p w14:paraId="2FC73AAE" w14:textId="5E57B3B4" w:rsidR="002B168C" w:rsidRPr="00931AF9" w:rsidRDefault="002B168C" w:rsidP="00EB3DF5">
            <w:pPr>
              <w:rPr>
                <w:i/>
                <w:color w:val="000000" w:themeColor="text1"/>
                <w:sz w:val="20"/>
                <w:szCs w:val="20"/>
              </w:rPr>
            </w:pPr>
            <w:r w:rsidRPr="00931AF9">
              <w:rPr>
                <w:i/>
                <w:color w:val="000000" w:themeColor="text1"/>
                <w:sz w:val="20"/>
                <w:szCs w:val="20"/>
              </w:rPr>
              <w:t xml:space="preserve">Inhalte: </w:t>
            </w:r>
            <w:r>
              <w:rPr>
                <w:i/>
                <w:color w:val="000000" w:themeColor="text1"/>
                <w:sz w:val="20"/>
                <w:szCs w:val="20"/>
              </w:rPr>
              <w:t>Ressource Holz, Eigenschaften, Werkstoffe, Holzarten, Bemessungsunterschiede zu anderen Materialien</w:t>
            </w:r>
          </w:p>
          <w:p w14:paraId="73F4D8AB" w14:textId="77777777" w:rsidR="002B168C" w:rsidRDefault="002B168C" w:rsidP="00EB3DF5">
            <w:pPr>
              <w:rPr>
                <w:color w:val="000000" w:themeColor="text1"/>
                <w:sz w:val="20"/>
                <w:szCs w:val="20"/>
              </w:rPr>
            </w:pPr>
          </w:p>
          <w:p w14:paraId="23C8F7D4" w14:textId="007530B1" w:rsidR="002B168C" w:rsidRPr="002962D9" w:rsidRDefault="002B168C" w:rsidP="00EB3DF5">
            <w:pPr>
              <w:rPr>
                <w:color w:val="000000" w:themeColor="text1"/>
                <w:sz w:val="20"/>
                <w:szCs w:val="20"/>
              </w:rPr>
            </w:pPr>
            <w:r>
              <w:rPr>
                <w:color w:val="000000" w:themeColor="text1"/>
                <w:sz w:val="20"/>
                <w:szCs w:val="20"/>
              </w:rPr>
              <w:t>Die Teilnehmer*innen kennen und erklären die wichtigsten Kriterien für den resilienten, modernen Holzbau und dessen Entwicklungen, in den Bereichen der Holz- und Baustoffkunde. Sie planen den ressourcenschonenden Einsatz des Baustoffes Holz in der Ebene der Primärkonstruktionen.</w:t>
            </w:r>
            <w:r>
              <w:t xml:space="preserve"> </w:t>
            </w:r>
            <w:r w:rsidRPr="00822875">
              <w:rPr>
                <w:color w:val="000000" w:themeColor="text1"/>
                <w:sz w:val="20"/>
                <w:szCs w:val="20"/>
              </w:rPr>
              <w:t xml:space="preserve">Spezifika wie Stärken und Schwächen des natürlichen Baustoffs Holz im Vergleich zu anderen Baustoffen sind bekannt. Ebenso sind die wesentlichen Holzbauprodukte sowie die Herleitung ihrer Kenngrößen und die Spezifika des Baustoffs Holz in Bezug auf Bemessung und Nachweisführung </w:t>
            </w:r>
            <w:r>
              <w:rPr>
                <w:color w:val="000000" w:themeColor="text1"/>
                <w:sz w:val="20"/>
                <w:szCs w:val="20"/>
              </w:rPr>
              <w:t>vertraut</w:t>
            </w:r>
            <w:r w:rsidRPr="00822875">
              <w:rPr>
                <w:color w:val="000000" w:themeColor="text1"/>
                <w:sz w:val="20"/>
                <w:szCs w:val="20"/>
              </w:rPr>
              <w:t>.</w:t>
            </w:r>
          </w:p>
        </w:tc>
        <w:tc>
          <w:tcPr>
            <w:tcW w:w="573" w:type="pct"/>
            <w:shd w:val="clear" w:color="auto" w:fill="auto"/>
          </w:tcPr>
          <w:p w14:paraId="584CE2A2" w14:textId="77777777" w:rsidR="002B168C" w:rsidRPr="002962D9" w:rsidRDefault="002B168C" w:rsidP="005B112A">
            <w:pPr>
              <w:jc w:val="center"/>
              <w:rPr>
                <w:b/>
                <w:color w:val="000000" w:themeColor="text1"/>
                <w:sz w:val="20"/>
                <w:szCs w:val="20"/>
              </w:rPr>
            </w:pPr>
            <w:r>
              <w:rPr>
                <w:b/>
                <w:color w:val="000000" w:themeColor="text1"/>
                <w:sz w:val="20"/>
                <w:szCs w:val="20"/>
              </w:rPr>
              <w:t>5</w:t>
            </w:r>
          </w:p>
        </w:tc>
      </w:tr>
      <w:tr w:rsidR="002B168C" w:rsidRPr="00296321" w14:paraId="3203813C" w14:textId="77777777" w:rsidTr="00A4183D">
        <w:tc>
          <w:tcPr>
            <w:tcW w:w="1327" w:type="pct"/>
          </w:tcPr>
          <w:p w14:paraId="56B10CC6" w14:textId="77777777" w:rsidR="002B168C" w:rsidRDefault="002B168C" w:rsidP="00EB3DF5">
            <w:pPr>
              <w:contextualSpacing/>
            </w:pPr>
            <w:r>
              <w:t xml:space="preserve">Modul 2: </w:t>
            </w:r>
          </w:p>
          <w:p w14:paraId="2ED7F2C5" w14:textId="5CFE4E33" w:rsidR="002B168C" w:rsidRPr="00296321" w:rsidRDefault="00CA40F2" w:rsidP="00EB3DF5">
            <w:pPr>
              <w:contextualSpacing/>
              <w:rPr>
                <w:color w:val="000000" w:themeColor="text1"/>
                <w:sz w:val="20"/>
                <w:szCs w:val="20"/>
              </w:rPr>
            </w:pPr>
            <w:r w:rsidRPr="00CA40F2">
              <w:t>Holzbauweisen und Tragsysteme</w:t>
            </w:r>
          </w:p>
        </w:tc>
        <w:tc>
          <w:tcPr>
            <w:tcW w:w="3100" w:type="pct"/>
          </w:tcPr>
          <w:p w14:paraId="5AAD036E" w14:textId="1B7FBB13" w:rsidR="002B168C" w:rsidRPr="00931AF9" w:rsidRDefault="002B168C" w:rsidP="00EB3DF5">
            <w:pPr>
              <w:rPr>
                <w:i/>
                <w:color w:val="000000" w:themeColor="text1"/>
                <w:sz w:val="20"/>
                <w:szCs w:val="20"/>
              </w:rPr>
            </w:pPr>
            <w:r w:rsidRPr="00931AF9">
              <w:rPr>
                <w:i/>
                <w:color w:val="000000" w:themeColor="text1"/>
                <w:sz w:val="20"/>
                <w:szCs w:val="20"/>
              </w:rPr>
              <w:t>Inhalte:</w:t>
            </w:r>
            <w:r>
              <w:rPr>
                <w:i/>
                <w:color w:val="000000" w:themeColor="text1"/>
                <w:sz w:val="20"/>
                <w:szCs w:val="20"/>
              </w:rPr>
              <w:t xml:space="preserve"> Historische und moderne Holzbauweisen und Tragsysteme, Tragwerksentwurf, Modellbildung und Tektonik</w:t>
            </w:r>
          </w:p>
          <w:p w14:paraId="2710227B" w14:textId="77777777" w:rsidR="002B168C" w:rsidRDefault="002B168C" w:rsidP="00EB3DF5">
            <w:pPr>
              <w:rPr>
                <w:color w:val="000000" w:themeColor="text1"/>
                <w:sz w:val="20"/>
                <w:szCs w:val="20"/>
              </w:rPr>
            </w:pPr>
          </w:p>
          <w:p w14:paraId="2D892E48" w14:textId="6B409139" w:rsidR="002B168C" w:rsidRPr="008D01F3" w:rsidRDefault="002B168C" w:rsidP="00EB3DF5">
            <w:pPr>
              <w:rPr>
                <w:color w:val="000000" w:themeColor="text1"/>
                <w:sz w:val="20"/>
                <w:szCs w:val="20"/>
              </w:rPr>
            </w:pPr>
            <w:r>
              <w:rPr>
                <w:color w:val="000000" w:themeColor="text1"/>
                <w:sz w:val="20"/>
                <w:szCs w:val="20"/>
              </w:rPr>
              <w:t>Die Teilnehmer*innen kennen die verschiedenen Holzbauweisen und deren Eigenschaften. Sie sind befähigt ressourcenoptimierte Tragsysteme in Holz zu beurteilen und zu entwickeln.</w:t>
            </w:r>
          </w:p>
        </w:tc>
        <w:tc>
          <w:tcPr>
            <w:tcW w:w="573" w:type="pct"/>
            <w:shd w:val="clear" w:color="auto" w:fill="auto"/>
          </w:tcPr>
          <w:p w14:paraId="4ED73B1C" w14:textId="77777777" w:rsidR="002B168C" w:rsidRPr="002962D9" w:rsidRDefault="002B168C" w:rsidP="005B112A">
            <w:pPr>
              <w:jc w:val="center"/>
              <w:rPr>
                <w:b/>
                <w:color w:val="000000" w:themeColor="text1"/>
                <w:sz w:val="20"/>
                <w:szCs w:val="20"/>
              </w:rPr>
            </w:pPr>
            <w:r>
              <w:rPr>
                <w:b/>
                <w:color w:val="000000" w:themeColor="text1"/>
                <w:sz w:val="20"/>
                <w:szCs w:val="20"/>
              </w:rPr>
              <w:t>5</w:t>
            </w:r>
          </w:p>
        </w:tc>
      </w:tr>
      <w:tr w:rsidR="002B168C" w:rsidRPr="00296321" w14:paraId="03FF024D" w14:textId="77777777" w:rsidTr="00A4183D">
        <w:tc>
          <w:tcPr>
            <w:tcW w:w="1327" w:type="pct"/>
          </w:tcPr>
          <w:p w14:paraId="31190D51" w14:textId="77777777" w:rsidR="002B168C" w:rsidRDefault="002B168C" w:rsidP="00EB3DF5">
            <w:pPr>
              <w:contextualSpacing/>
            </w:pPr>
            <w:r>
              <w:t xml:space="preserve">Modul 3: </w:t>
            </w:r>
          </w:p>
          <w:p w14:paraId="4B81A008" w14:textId="3ED26EEA" w:rsidR="002B168C" w:rsidRPr="00296321" w:rsidRDefault="002B168C" w:rsidP="00EB3DF5">
            <w:pPr>
              <w:contextualSpacing/>
              <w:rPr>
                <w:color w:val="000000" w:themeColor="text1"/>
                <w:sz w:val="20"/>
                <w:szCs w:val="20"/>
              </w:rPr>
            </w:pPr>
            <w:r>
              <w:t>Konstruieren mit Holz</w:t>
            </w:r>
          </w:p>
        </w:tc>
        <w:tc>
          <w:tcPr>
            <w:tcW w:w="3100" w:type="pct"/>
          </w:tcPr>
          <w:p w14:paraId="5EE9680E" w14:textId="71EF1743" w:rsidR="002B168C" w:rsidRPr="00931AF9" w:rsidRDefault="002B168C" w:rsidP="00EB3DF5">
            <w:pPr>
              <w:rPr>
                <w:bCs/>
                <w:i/>
                <w:color w:val="000000" w:themeColor="text1"/>
                <w:sz w:val="20"/>
                <w:szCs w:val="20"/>
              </w:rPr>
            </w:pPr>
            <w:r w:rsidRPr="00931AF9">
              <w:rPr>
                <w:bCs/>
                <w:i/>
                <w:color w:val="000000" w:themeColor="text1"/>
                <w:sz w:val="20"/>
                <w:szCs w:val="20"/>
              </w:rPr>
              <w:t xml:space="preserve">Inhalte: </w:t>
            </w:r>
            <w:r>
              <w:rPr>
                <w:bCs/>
                <w:i/>
                <w:color w:val="000000" w:themeColor="text1"/>
                <w:sz w:val="20"/>
                <w:szCs w:val="20"/>
              </w:rPr>
              <w:t>Resiliente Konstruktionen und Aufbauten, Polyfunktionalität, Vorfertigung und Abbund, System- und Modulbau, anhand von mehrgeschossigen Bauwerken gängiger Gebäudetypologien.</w:t>
            </w:r>
          </w:p>
          <w:p w14:paraId="0E6B6120" w14:textId="77777777" w:rsidR="002B168C" w:rsidRDefault="002B168C" w:rsidP="00EB3DF5">
            <w:pPr>
              <w:rPr>
                <w:bCs/>
                <w:color w:val="000000" w:themeColor="text1"/>
                <w:sz w:val="20"/>
                <w:szCs w:val="20"/>
              </w:rPr>
            </w:pPr>
          </w:p>
          <w:p w14:paraId="1FCC67C9" w14:textId="7ADD30C2" w:rsidR="002B168C" w:rsidRDefault="002B168C" w:rsidP="00EB3DF5">
            <w:pPr>
              <w:rPr>
                <w:bCs/>
                <w:color w:val="000000" w:themeColor="text1"/>
                <w:sz w:val="20"/>
                <w:szCs w:val="20"/>
              </w:rPr>
            </w:pPr>
            <w:r>
              <w:rPr>
                <w:bCs/>
                <w:color w:val="000000" w:themeColor="text1"/>
                <w:sz w:val="20"/>
                <w:szCs w:val="20"/>
              </w:rPr>
              <w:t>Die Teilnehmer*innen besitzen das Wissen über resiliente Holzbauteile, und -konstruktionen, deren Fügungen und bauphysikalische Eigenschaften. Sie sind in der Lage multiple Entwurfsstrategien hinsichtlich des serielle</w:t>
            </w:r>
            <w:r w:rsidR="001F3154">
              <w:rPr>
                <w:bCs/>
                <w:color w:val="000000" w:themeColor="text1"/>
                <w:sz w:val="20"/>
                <w:szCs w:val="20"/>
              </w:rPr>
              <w:t>n</w:t>
            </w:r>
            <w:r>
              <w:rPr>
                <w:bCs/>
                <w:color w:val="000000" w:themeColor="text1"/>
                <w:sz w:val="20"/>
                <w:szCs w:val="20"/>
              </w:rPr>
              <w:t xml:space="preserve"> Bauens, der Vorfertigung und der unterschiedlichen Arten der Modulbauweise zu vergleichen. </w:t>
            </w:r>
          </w:p>
          <w:p w14:paraId="46E52674" w14:textId="7D71711B" w:rsidR="002B168C" w:rsidRPr="00D17392" w:rsidRDefault="002B168C" w:rsidP="00EB3DF5">
            <w:pPr>
              <w:rPr>
                <w:bCs/>
                <w:color w:val="000000" w:themeColor="text1"/>
                <w:sz w:val="20"/>
                <w:szCs w:val="20"/>
              </w:rPr>
            </w:pPr>
            <w:r>
              <w:rPr>
                <w:bCs/>
                <w:color w:val="000000" w:themeColor="text1"/>
                <w:sz w:val="20"/>
                <w:szCs w:val="20"/>
              </w:rPr>
              <w:t>Der Einsatz der Techniken für die jeweilige Bauaufgabe kann bewertet und, mit dem Schwerpunkt des mehrgeschossigen Holzbaus, Planungen durchgeführt werden.</w:t>
            </w:r>
          </w:p>
        </w:tc>
        <w:tc>
          <w:tcPr>
            <w:tcW w:w="573" w:type="pct"/>
            <w:shd w:val="clear" w:color="auto" w:fill="auto"/>
          </w:tcPr>
          <w:p w14:paraId="2033F306" w14:textId="77777777" w:rsidR="002B168C" w:rsidRPr="002962D9" w:rsidRDefault="002B168C" w:rsidP="005B112A">
            <w:pPr>
              <w:jc w:val="center"/>
              <w:rPr>
                <w:b/>
                <w:color w:val="000000" w:themeColor="text1"/>
                <w:sz w:val="20"/>
                <w:szCs w:val="20"/>
              </w:rPr>
            </w:pPr>
            <w:r>
              <w:rPr>
                <w:b/>
                <w:color w:val="000000" w:themeColor="text1"/>
                <w:sz w:val="20"/>
                <w:szCs w:val="20"/>
              </w:rPr>
              <w:t>5</w:t>
            </w:r>
          </w:p>
        </w:tc>
      </w:tr>
      <w:bookmarkEnd w:id="3"/>
    </w:tbl>
    <w:p w14:paraId="64FF021E" w14:textId="77777777" w:rsidR="0052282F" w:rsidRDefault="0052282F" w:rsidP="00EB3DF5"/>
    <w:p w14:paraId="0F430010" w14:textId="4225C5AA" w:rsidR="000C3584" w:rsidRPr="00A4183D" w:rsidRDefault="000C3584">
      <w:pPr>
        <w:rPr>
          <w:bCs/>
        </w:rPr>
      </w:pPr>
    </w:p>
    <w:p w14:paraId="55A41211" w14:textId="00852758" w:rsidR="00AD31A4" w:rsidRPr="00007EB1" w:rsidRDefault="00AD31A4" w:rsidP="00EB3DF5">
      <w:pPr>
        <w:rPr>
          <w:b/>
          <w:bCs/>
        </w:rPr>
      </w:pPr>
      <w:r w:rsidRPr="00007EB1">
        <w:rPr>
          <w:b/>
          <w:bCs/>
        </w:rPr>
        <w:t>§ 5</w:t>
      </w:r>
      <w:r w:rsidRPr="00007EB1">
        <w:rPr>
          <w:b/>
          <w:bCs/>
        </w:rPr>
        <w:tab/>
        <w:t>Prüfungsordnung</w:t>
      </w:r>
    </w:p>
    <w:p w14:paraId="1255E80A" w14:textId="77777777" w:rsidR="00AD31A4" w:rsidRPr="00055B41" w:rsidRDefault="00AD31A4" w:rsidP="00055B41">
      <w:pPr>
        <w:jc w:val="both"/>
        <w:rPr>
          <w:bCs/>
        </w:rPr>
      </w:pPr>
    </w:p>
    <w:p w14:paraId="2D910C29" w14:textId="77777777" w:rsidR="00D76AC6" w:rsidRPr="00055B41" w:rsidRDefault="00D76AC6" w:rsidP="00055B41">
      <w:pPr>
        <w:pStyle w:val="Default"/>
        <w:jc w:val="both"/>
        <w:rPr>
          <w:sz w:val="22"/>
          <w:szCs w:val="22"/>
        </w:rPr>
      </w:pPr>
      <w:r w:rsidRPr="00055B41">
        <w:rPr>
          <w:sz w:val="22"/>
          <w:szCs w:val="22"/>
        </w:rPr>
        <w:t xml:space="preserve">Für den Universitätskurs gilt: </w:t>
      </w:r>
    </w:p>
    <w:p w14:paraId="366E45F6" w14:textId="77777777" w:rsidR="00D76AC6" w:rsidRPr="00055B41" w:rsidRDefault="00D76AC6" w:rsidP="00055B41">
      <w:pPr>
        <w:pStyle w:val="Default"/>
        <w:jc w:val="both"/>
        <w:rPr>
          <w:bCs/>
          <w:sz w:val="22"/>
          <w:szCs w:val="22"/>
        </w:rPr>
      </w:pPr>
    </w:p>
    <w:p w14:paraId="7CB6D7BA" w14:textId="174CAA12" w:rsidR="00D76AC6" w:rsidRPr="00513D57" w:rsidRDefault="00D76AC6" w:rsidP="00055B41">
      <w:pPr>
        <w:pStyle w:val="Default"/>
        <w:jc w:val="both"/>
        <w:rPr>
          <w:sz w:val="22"/>
          <w:szCs w:val="22"/>
        </w:rPr>
      </w:pPr>
      <w:r w:rsidRPr="00007EB1">
        <w:rPr>
          <w:b/>
          <w:bCs/>
          <w:sz w:val="22"/>
          <w:szCs w:val="22"/>
        </w:rPr>
        <w:t xml:space="preserve">Online-Phase: </w:t>
      </w:r>
      <w:r w:rsidR="00155F32" w:rsidRPr="00155F32">
        <w:rPr>
          <w:sz w:val="22"/>
          <w:szCs w:val="22"/>
        </w:rPr>
        <w:t>Die Leistungsbeurteilung der Online-Phase erfolgt über eine Prüfung, üblicherweise als Online-Assessment.</w:t>
      </w:r>
    </w:p>
    <w:p w14:paraId="593C88B6" w14:textId="05DEFF4C" w:rsidR="00D76AC6" w:rsidRPr="00513D57" w:rsidRDefault="00D76AC6" w:rsidP="00055B41">
      <w:pPr>
        <w:pStyle w:val="Default"/>
        <w:jc w:val="both"/>
        <w:rPr>
          <w:sz w:val="22"/>
          <w:szCs w:val="22"/>
        </w:rPr>
      </w:pPr>
      <w:r w:rsidRPr="00007EB1">
        <w:rPr>
          <w:b/>
          <w:bCs/>
          <w:sz w:val="22"/>
          <w:szCs w:val="22"/>
        </w:rPr>
        <w:t xml:space="preserve">Präsenzphase: </w:t>
      </w:r>
      <w:r w:rsidR="00C850C1" w:rsidRPr="00007EB1">
        <w:rPr>
          <w:sz w:val="22"/>
          <w:szCs w:val="22"/>
        </w:rPr>
        <w:t xml:space="preserve">Die </w:t>
      </w:r>
      <w:r w:rsidRPr="00007EB1">
        <w:rPr>
          <w:sz w:val="22"/>
          <w:szCs w:val="22"/>
        </w:rPr>
        <w:t xml:space="preserve">Präsenzlehrveranstaltung </w:t>
      </w:r>
      <w:r w:rsidR="00C850C1" w:rsidRPr="00007EB1">
        <w:rPr>
          <w:sz w:val="22"/>
          <w:szCs w:val="22"/>
        </w:rPr>
        <w:t>besitzt immanenten Prüfungscharakter. Die Beurteilung erfolgt auf Grund</w:t>
      </w:r>
      <w:r w:rsidR="00055B41">
        <w:rPr>
          <w:sz w:val="22"/>
          <w:szCs w:val="22"/>
        </w:rPr>
        <w:t xml:space="preserve"> </w:t>
      </w:r>
      <w:r w:rsidR="00C850C1" w:rsidRPr="00007EB1">
        <w:rPr>
          <w:sz w:val="22"/>
          <w:szCs w:val="22"/>
        </w:rPr>
        <w:t>regelmäßiger schriftlicher bzw. mündlicher Beiträge der Kursteilnehmer*innen.</w:t>
      </w:r>
    </w:p>
    <w:p w14:paraId="05EF93C9" w14:textId="300F3CF2" w:rsidR="00D76AC6" w:rsidRPr="00007EB1" w:rsidRDefault="00D76AC6" w:rsidP="00513D57">
      <w:pPr>
        <w:pStyle w:val="Default"/>
        <w:jc w:val="both"/>
        <w:rPr>
          <w:bCs/>
          <w:sz w:val="22"/>
          <w:szCs w:val="22"/>
        </w:rPr>
      </w:pPr>
      <w:r w:rsidRPr="00007EB1">
        <w:rPr>
          <w:b/>
          <w:bCs/>
          <w:sz w:val="22"/>
          <w:szCs w:val="22"/>
        </w:rPr>
        <w:t xml:space="preserve">Transferphase: </w:t>
      </w:r>
      <w:r w:rsidRPr="00007EB1">
        <w:rPr>
          <w:sz w:val="22"/>
          <w:szCs w:val="22"/>
        </w:rPr>
        <w:t>Die Leistungsbeurteilung der Transferphase erfolgt auf Basis der Ausarbeitung des Transferprojektes in Form eines Projektberichtes</w:t>
      </w:r>
      <w:r w:rsidR="00AA6A63" w:rsidRPr="00007EB1">
        <w:rPr>
          <w:sz w:val="22"/>
          <w:szCs w:val="22"/>
        </w:rPr>
        <w:t>, Planunterlagen</w:t>
      </w:r>
      <w:r w:rsidRPr="00007EB1">
        <w:rPr>
          <w:sz w:val="22"/>
          <w:szCs w:val="22"/>
        </w:rPr>
        <w:t xml:space="preserve"> bzw. anhand einer Präsentation der Projektergebnisse.</w:t>
      </w:r>
    </w:p>
    <w:p w14:paraId="6017AEEE" w14:textId="0CAFF45C" w:rsidR="00AD31A4" w:rsidRPr="00007EB1" w:rsidRDefault="00AD31A4" w:rsidP="00055B41">
      <w:pPr>
        <w:jc w:val="both"/>
      </w:pPr>
    </w:p>
    <w:p w14:paraId="553E29AA" w14:textId="77777777" w:rsidR="00AA6A63" w:rsidRPr="00007EB1" w:rsidRDefault="00AA6A63" w:rsidP="00055B41">
      <w:pPr>
        <w:jc w:val="both"/>
      </w:pPr>
    </w:p>
    <w:p w14:paraId="751317E8" w14:textId="77777777" w:rsidR="00A4183D" w:rsidRDefault="00A4183D">
      <w:pPr>
        <w:rPr>
          <w:b/>
          <w:bCs/>
        </w:rPr>
      </w:pPr>
      <w:r>
        <w:rPr>
          <w:b/>
          <w:bCs/>
        </w:rPr>
        <w:br w:type="page"/>
      </w:r>
    </w:p>
    <w:p w14:paraId="73E179A7" w14:textId="3E1CE1E6" w:rsidR="00AD31A4" w:rsidRPr="00007EB1" w:rsidRDefault="00AD31A4" w:rsidP="00EB3DF5">
      <w:pPr>
        <w:rPr>
          <w:b/>
          <w:bCs/>
        </w:rPr>
      </w:pPr>
      <w:r w:rsidRPr="00007EB1">
        <w:rPr>
          <w:b/>
          <w:bCs/>
        </w:rPr>
        <w:lastRenderedPageBreak/>
        <w:t>§ 6</w:t>
      </w:r>
      <w:r w:rsidRPr="00007EB1">
        <w:rPr>
          <w:b/>
          <w:bCs/>
        </w:rPr>
        <w:tab/>
        <w:t>Abschluss</w:t>
      </w:r>
    </w:p>
    <w:p w14:paraId="2C04F461" w14:textId="77777777" w:rsidR="00AD31A4" w:rsidRPr="00007EB1" w:rsidRDefault="00AD31A4" w:rsidP="00EB3DF5"/>
    <w:p w14:paraId="551FF8B1" w14:textId="0A509F2A" w:rsidR="00AD31A4" w:rsidRPr="00007EB1" w:rsidRDefault="00AD31A4" w:rsidP="00055B41">
      <w:pPr>
        <w:jc w:val="both"/>
      </w:pPr>
      <w:r w:rsidRPr="00007EB1">
        <w:t>Nach positivem Abschluss des Universitätskurses wird von der Technischen Universi</w:t>
      </w:r>
      <w:r w:rsidRPr="00007EB1">
        <w:softHyphen/>
        <w:t>tät Graz ein Zertifikat verliehen.</w:t>
      </w:r>
    </w:p>
    <w:p w14:paraId="469474C5" w14:textId="2211A73A" w:rsidR="00AD31A4" w:rsidRPr="00007EB1" w:rsidRDefault="00D76AC6" w:rsidP="00055B41">
      <w:pPr>
        <w:jc w:val="both"/>
      </w:pPr>
      <w:r w:rsidRPr="00007EB1">
        <w:t>Teilnehmende, welche keine Prüfung ablegen, erhalten eine Teilnahmebestätigung der TU Graz.</w:t>
      </w:r>
    </w:p>
    <w:p w14:paraId="48507492" w14:textId="77777777" w:rsidR="00AD31A4" w:rsidRPr="00007EB1" w:rsidRDefault="00AD31A4" w:rsidP="00055B41">
      <w:pPr>
        <w:jc w:val="both"/>
      </w:pPr>
    </w:p>
    <w:p w14:paraId="2AA394AD" w14:textId="77777777" w:rsidR="00AA6A63" w:rsidRPr="00007EB1" w:rsidRDefault="00AA6A63" w:rsidP="00EB3DF5"/>
    <w:p w14:paraId="56319B2E" w14:textId="77777777" w:rsidR="00AD31A4" w:rsidRPr="00007EB1" w:rsidRDefault="00AD31A4" w:rsidP="00EB3DF5">
      <w:pPr>
        <w:rPr>
          <w:b/>
          <w:bCs/>
        </w:rPr>
      </w:pPr>
      <w:r w:rsidRPr="00007EB1">
        <w:rPr>
          <w:b/>
          <w:bCs/>
        </w:rPr>
        <w:t xml:space="preserve">§ 7 </w:t>
      </w:r>
      <w:r w:rsidRPr="00007EB1">
        <w:rPr>
          <w:b/>
          <w:bCs/>
        </w:rPr>
        <w:tab/>
        <w:t>Universitätskursbeitrag</w:t>
      </w:r>
    </w:p>
    <w:p w14:paraId="481B047C" w14:textId="77777777" w:rsidR="00AD31A4" w:rsidRPr="00007EB1" w:rsidRDefault="00AD31A4" w:rsidP="00055B41">
      <w:pPr>
        <w:jc w:val="both"/>
      </w:pPr>
    </w:p>
    <w:p w14:paraId="4F87DB8B" w14:textId="77777777" w:rsidR="00AD31A4" w:rsidRPr="00007EB1" w:rsidRDefault="00AD31A4" w:rsidP="00055B41">
      <w:pPr>
        <w:jc w:val="both"/>
      </w:pPr>
      <w:r w:rsidRPr="00007EB1">
        <w:t xml:space="preserve">Der Universitätskursbeitrag schließt nur die Kosten des Universitätskurses gemäß § 8 für die Lehrveranstaltungen ein. Der Kursbeitrag ist der aktuellen Information auf der Homepage von TU Graz Life Long Learning zu entnehmen. </w:t>
      </w:r>
    </w:p>
    <w:p w14:paraId="29FE3CD0" w14:textId="77777777" w:rsidR="00AD31A4" w:rsidRPr="00007EB1" w:rsidRDefault="00AD31A4" w:rsidP="00055B41">
      <w:pPr>
        <w:jc w:val="both"/>
      </w:pPr>
    </w:p>
    <w:p w14:paraId="196FBED2" w14:textId="77777777" w:rsidR="00AD31A4" w:rsidRPr="00007EB1" w:rsidRDefault="00AD31A4" w:rsidP="00055B41">
      <w:pPr>
        <w:jc w:val="both"/>
      </w:pPr>
      <w:r w:rsidRPr="00007EB1">
        <w:t>Die Teilne</w:t>
      </w:r>
      <w:r w:rsidR="00090D5A" w:rsidRPr="00007EB1">
        <w:t>hmenden</w:t>
      </w:r>
      <w:r w:rsidRPr="00007EB1">
        <w:t xml:space="preserve"> dieses Universitätskurses</w:t>
      </w:r>
      <w:r w:rsidR="00681E2E" w:rsidRPr="00007EB1">
        <w:t xml:space="preserve"> haben nur den Universitätskurs</w:t>
      </w:r>
      <w:r w:rsidRPr="00007EB1">
        <w:t>beitrag, nicht aber den Studienbeitrag zu</w:t>
      </w:r>
      <w:r w:rsidR="00090D5A" w:rsidRPr="00007EB1">
        <w:t xml:space="preserve"> entrichten. Sollten die Teilnehmenden</w:t>
      </w:r>
      <w:r w:rsidRPr="00007EB1">
        <w:t xml:space="preserve"> als außerordentliche Hörer inskribiert sein, ist auch der ÖH-Beitrag zu entrichten.</w:t>
      </w:r>
    </w:p>
    <w:p w14:paraId="6EF84E29" w14:textId="77777777" w:rsidR="00AD31A4" w:rsidRPr="00007EB1" w:rsidRDefault="00AD31A4" w:rsidP="00055B41">
      <w:pPr>
        <w:jc w:val="both"/>
      </w:pPr>
    </w:p>
    <w:p w14:paraId="46DB6CDC" w14:textId="77777777" w:rsidR="00AD31A4" w:rsidRPr="00007EB1" w:rsidRDefault="00AD31A4" w:rsidP="00055B41">
      <w:pPr>
        <w:jc w:val="both"/>
      </w:pPr>
    </w:p>
    <w:p w14:paraId="4DE00E74" w14:textId="77777777" w:rsidR="00AD31A4" w:rsidRPr="00007EB1" w:rsidRDefault="00AD31A4" w:rsidP="00EB3DF5">
      <w:pPr>
        <w:rPr>
          <w:b/>
          <w:bCs/>
        </w:rPr>
      </w:pPr>
      <w:r w:rsidRPr="00007EB1">
        <w:rPr>
          <w:b/>
          <w:bCs/>
        </w:rPr>
        <w:t>§ 8</w:t>
      </w:r>
      <w:r w:rsidRPr="00007EB1">
        <w:rPr>
          <w:b/>
          <w:bCs/>
        </w:rPr>
        <w:tab/>
        <w:t>Kosten des Universitätskurses</w:t>
      </w:r>
    </w:p>
    <w:p w14:paraId="27975547" w14:textId="77777777" w:rsidR="00AD31A4" w:rsidRPr="00055B41" w:rsidRDefault="00AD31A4" w:rsidP="00055B41">
      <w:pPr>
        <w:jc w:val="both"/>
      </w:pPr>
    </w:p>
    <w:p w14:paraId="73AF562A" w14:textId="77777777" w:rsidR="00AD31A4" w:rsidRPr="00055B41" w:rsidRDefault="00AD31A4" w:rsidP="00055B41">
      <w:pPr>
        <w:jc w:val="both"/>
      </w:pPr>
      <w:r w:rsidRPr="00055B41">
        <w:t>Die Kosten des Universitätskurses setzen sich aus den Aufwendungen für die Leh</w:t>
      </w:r>
      <w:r w:rsidRPr="00055B41">
        <w:softHyphen/>
        <w:t>renden und den sonstigen Aufwendungen für Leitung, Organisation etc. zusammen. Die dafür erforderlichen Mittel werden aus dem Universitätskursbeitrag und gegebe</w:t>
      </w:r>
      <w:r w:rsidRPr="00055B41">
        <w:softHyphen/>
        <w:t>nenfalls aus Drittmitteln aufgebracht. Der Universitätskurs kann nur abgehalten wer</w:t>
      </w:r>
      <w:r w:rsidRPr="00055B41">
        <w:softHyphen/>
        <w:t>den, wenn die für die Durchführung erforderlichen Mittel in entsprechender Höhe zur Verfügung stehen.</w:t>
      </w:r>
    </w:p>
    <w:p w14:paraId="28896D24" w14:textId="77777777" w:rsidR="00AD31A4" w:rsidRPr="00055B41" w:rsidRDefault="00AD31A4" w:rsidP="00EB3DF5"/>
    <w:p w14:paraId="781B1826" w14:textId="77777777" w:rsidR="00C40386" w:rsidRPr="00055B41" w:rsidRDefault="00C40386" w:rsidP="00EB3DF5">
      <w:pPr>
        <w:rPr>
          <w:bCs/>
        </w:rPr>
      </w:pPr>
    </w:p>
    <w:p w14:paraId="427A50C2" w14:textId="77777777" w:rsidR="00AD31A4" w:rsidRPr="00007EB1" w:rsidRDefault="00FC4E8D" w:rsidP="00EB3DF5">
      <w:pPr>
        <w:rPr>
          <w:b/>
          <w:bCs/>
        </w:rPr>
      </w:pPr>
      <w:r w:rsidRPr="00007EB1">
        <w:rPr>
          <w:b/>
          <w:bCs/>
        </w:rPr>
        <w:t>§ 9</w:t>
      </w:r>
      <w:r w:rsidR="00AD31A4" w:rsidRPr="00007EB1">
        <w:rPr>
          <w:b/>
          <w:bCs/>
        </w:rPr>
        <w:t xml:space="preserve"> </w:t>
      </w:r>
      <w:r w:rsidR="00AD31A4" w:rsidRPr="00007EB1">
        <w:rPr>
          <w:b/>
          <w:bCs/>
        </w:rPr>
        <w:tab/>
        <w:t>Durchführung des Universitätskurses</w:t>
      </w:r>
    </w:p>
    <w:p w14:paraId="6978EC21" w14:textId="77777777" w:rsidR="00AD31A4" w:rsidRPr="00007EB1" w:rsidRDefault="00AD31A4" w:rsidP="00EB3DF5"/>
    <w:p w14:paraId="044BA188" w14:textId="533E4D13" w:rsidR="004861A5" w:rsidRPr="00007EB1" w:rsidRDefault="005C1362" w:rsidP="00055B41">
      <w:pPr>
        <w:jc w:val="both"/>
      </w:pPr>
      <w:r w:rsidRPr="00007EB1">
        <w:t>Der Universitätskurs wird organisatorisch von TU Graz Life Long Learning durchgeführt. Die wissenschaftliche Leitung wird von Dipl.-Des. BDA Univ.-Prof. Tom Kaden (Institut für Architekturtechnologie, Professur für Architektur und Ho</w:t>
      </w:r>
      <w:r w:rsidR="00E66C60" w:rsidRPr="00007EB1">
        <w:t>l</w:t>
      </w:r>
      <w:r w:rsidRPr="00007EB1">
        <w:t>zbau der TU Graz) übernommen.</w:t>
      </w:r>
    </w:p>
    <w:p w14:paraId="05E889D3" w14:textId="77777777" w:rsidR="00E66C60" w:rsidRPr="00007EB1" w:rsidRDefault="00E66C60" w:rsidP="00055B41">
      <w:pPr>
        <w:jc w:val="both"/>
      </w:pPr>
    </w:p>
    <w:p w14:paraId="1D77AD88" w14:textId="77777777" w:rsidR="005C1362" w:rsidRPr="00007EB1" w:rsidRDefault="005C1362" w:rsidP="00055B41">
      <w:pPr>
        <w:jc w:val="both"/>
      </w:pPr>
    </w:p>
    <w:p w14:paraId="648095C7" w14:textId="77777777" w:rsidR="00C40386" w:rsidRPr="00007EB1" w:rsidRDefault="00FC4E8D" w:rsidP="00EB3DF5">
      <w:pPr>
        <w:autoSpaceDE w:val="0"/>
        <w:autoSpaceDN w:val="0"/>
        <w:adjustRightInd w:val="0"/>
        <w:rPr>
          <w:b/>
          <w:bCs/>
          <w:lang w:val="de-AT" w:eastAsia="de-AT"/>
        </w:rPr>
      </w:pPr>
      <w:r w:rsidRPr="00007EB1">
        <w:rPr>
          <w:b/>
          <w:bCs/>
          <w:lang w:val="de-AT" w:eastAsia="de-AT"/>
        </w:rPr>
        <w:t>§ 10</w:t>
      </w:r>
      <w:r w:rsidR="00C40386" w:rsidRPr="00007EB1">
        <w:rPr>
          <w:b/>
          <w:bCs/>
          <w:lang w:val="de-AT" w:eastAsia="de-AT"/>
        </w:rPr>
        <w:t xml:space="preserve"> Inkrafttreten</w:t>
      </w:r>
    </w:p>
    <w:p w14:paraId="33FED60D" w14:textId="77777777" w:rsidR="00C40386" w:rsidRPr="00055B41" w:rsidRDefault="00C40386" w:rsidP="00055B41">
      <w:pPr>
        <w:jc w:val="both"/>
      </w:pPr>
    </w:p>
    <w:p w14:paraId="5589EF59" w14:textId="4EFB5CB9" w:rsidR="00C40386" w:rsidRPr="00055B41" w:rsidRDefault="00C40386" w:rsidP="00055B41">
      <w:pPr>
        <w:jc w:val="both"/>
      </w:pPr>
      <w:r w:rsidRPr="00055B41">
        <w:t xml:space="preserve">Der Lehrplan tritt am Tag nach der Verlautbarung </w:t>
      </w:r>
      <w:r w:rsidR="00090D5A" w:rsidRPr="00055B41">
        <w:t>im Mitteilungsblatt der TU Graz</w:t>
      </w:r>
      <w:r w:rsidRPr="00055B41">
        <w:t xml:space="preserve"> in Kraft.</w:t>
      </w:r>
    </w:p>
    <w:p w14:paraId="1092B35F" w14:textId="77777777" w:rsidR="00061635" w:rsidRDefault="00061635" w:rsidP="00061635">
      <w:pPr>
        <w:pStyle w:val="Default"/>
        <w:rPr>
          <w:sz w:val="22"/>
          <w:szCs w:val="22"/>
        </w:rPr>
      </w:pPr>
      <w:bookmarkStart w:id="4" w:name="_Hlk160700250"/>
    </w:p>
    <w:p w14:paraId="7D9575B7" w14:textId="788919F0" w:rsidR="00844744" w:rsidRDefault="00844744" w:rsidP="00844744">
      <w:pPr>
        <w:pStyle w:val="Default"/>
        <w:jc w:val="center"/>
        <w:rPr>
          <w:sz w:val="22"/>
          <w:szCs w:val="22"/>
        </w:rPr>
      </w:pPr>
    </w:p>
    <w:p w14:paraId="3EB4F35D" w14:textId="3EE91545" w:rsidR="00A4183D" w:rsidRDefault="00A4183D" w:rsidP="00844744">
      <w:pPr>
        <w:pStyle w:val="Default"/>
        <w:jc w:val="center"/>
        <w:rPr>
          <w:sz w:val="22"/>
          <w:szCs w:val="22"/>
        </w:rPr>
      </w:pPr>
    </w:p>
    <w:p w14:paraId="2612FB4C" w14:textId="77777777" w:rsidR="00A4183D" w:rsidRDefault="00A4183D" w:rsidP="00844744">
      <w:pPr>
        <w:pStyle w:val="Default"/>
        <w:jc w:val="center"/>
        <w:rPr>
          <w:sz w:val="22"/>
          <w:szCs w:val="22"/>
        </w:rPr>
      </w:pPr>
    </w:p>
    <w:p w14:paraId="3239059F" w14:textId="45919888" w:rsidR="00061635" w:rsidRPr="00007EB1" w:rsidRDefault="005C1362" w:rsidP="00844744">
      <w:pPr>
        <w:pStyle w:val="Default"/>
        <w:jc w:val="center"/>
        <w:rPr>
          <w:sz w:val="22"/>
          <w:szCs w:val="22"/>
        </w:rPr>
      </w:pPr>
      <w:r w:rsidRPr="00007EB1">
        <w:rPr>
          <w:sz w:val="22"/>
          <w:szCs w:val="22"/>
        </w:rPr>
        <w:t xml:space="preserve">Univ.-Prof. Dip.-Ing. </w:t>
      </w:r>
      <w:proofErr w:type="spellStart"/>
      <w:r w:rsidRPr="00007EB1">
        <w:rPr>
          <w:sz w:val="22"/>
          <w:szCs w:val="22"/>
        </w:rPr>
        <w:t>Dr.techn</w:t>
      </w:r>
      <w:proofErr w:type="spellEnd"/>
      <w:r w:rsidRPr="00007EB1">
        <w:rPr>
          <w:sz w:val="22"/>
          <w:szCs w:val="22"/>
        </w:rPr>
        <w:t>. Stefan Vorbach</w:t>
      </w:r>
    </w:p>
    <w:p w14:paraId="10D6FF65" w14:textId="70278339" w:rsidR="005C1362" w:rsidRPr="00007EB1" w:rsidRDefault="005C1362" w:rsidP="00513D57">
      <w:pPr>
        <w:pStyle w:val="Default"/>
        <w:jc w:val="center"/>
        <w:rPr>
          <w:b/>
          <w:bCs/>
          <w:sz w:val="22"/>
          <w:szCs w:val="22"/>
        </w:rPr>
      </w:pPr>
      <w:r w:rsidRPr="00007EB1">
        <w:rPr>
          <w:sz w:val="22"/>
          <w:szCs w:val="22"/>
        </w:rPr>
        <w:t>Vizerektor für Lehre</w:t>
      </w:r>
      <w:r w:rsidR="00513D57">
        <w:rPr>
          <w:sz w:val="22"/>
          <w:szCs w:val="22"/>
        </w:rPr>
        <w:t xml:space="preserve">, </w:t>
      </w:r>
      <w:r w:rsidRPr="00007EB1">
        <w:rPr>
          <w:sz w:val="22"/>
          <w:szCs w:val="22"/>
        </w:rPr>
        <w:t>TU Graz</w:t>
      </w:r>
      <w:bookmarkStart w:id="5" w:name="_GoBack"/>
      <w:bookmarkEnd w:id="4"/>
      <w:bookmarkEnd w:id="5"/>
    </w:p>
    <w:sectPr w:rsidR="005C1362" w:rsidRPr="00007EB1" w:rsidSect="004212CD">
      <w:headerReference w:type="even"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C9BF" w14:textId="77777777" w:rsidR="00B00CDA" w:rsidRDefault="00B00CDA">
      <w:r>
        <w:separator/>
      </w:r>
    </w:p>
  </w:endnote>
  <w:endnote w:type="continuationSeparator" w:id="0">
    <w:p w14:paraId="0F9AA4F0" w14:textId="77777777" w:rsidR="00B00CDA" w:rsidRDefault="00B0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5B217" w14:textId="77777777" w:rsidR="00007EB1" w:rsidRPr="00FA78E9" w:rsidRDefault="00007EB1" w:rsidP="00007EB1">
    <w:pPr>
      <w:pStyle w:val="Fuzeile"/>
      <w:tabs>
        <w:tab w:val="clear" w:pos="4536"/>
        <w:tab w:val="center" w:leader="underscore" w:pos="9072"/>
      </w:tabs>
      <w:rPr>
        <w:sz w:val="18"/>
        <w:szCs w:val="18"/>
      </w:rPr>
    </w:pPr>
    <w:r>
      <w:rPr>
        <w:noProof/>
        <w:sz w:val="18"/>
        <w:szCs w:val="18"/>
        <w:lang w:val="de-AT" w:eastAsia="de-AT"/>
      </w:rPr>
      <w:tab/>
    </w:r>
  </w:p>
  <w:p w14:paraId="4B765163" w14:textId="47F7CDF7" w:rsidR="000A57E2" w:rsidRPr="00FA78E9" w:rsidRDefault="00007EB1" w:rsidP="00C25B6F">
    <w:pPr>
      <w:pStyle w:val="Fuzeile"/>
      <w:rPr>
        <w:sz w:val="18"/>
        <w:szCs w:val="18"/>
      </w:rPr>
    </w:pPr>
    <w:r w:rsidRPr="00FA78E9">
      <w:rPr>
        <w:sz w:val="18"/>
        <w:szCs w:val="18"/>
      </w:rPr>
      <w:t>Lehrplan Universitätskurs „Grundlagen Holzbau“, März 2024</w:t>
    </w:r>
    <w:r w:rsidRPr="00FA78E9">
      <w:rPr>
        <w:sz w:val="18"/>
        <w:szCs w:val="18"/>
      </w:rPr>
      <w:tab/>
    </w:r>
    <w:r w:rsidRPr="00FA78E9">
      <w:rPr>
        <w:sz w:val="18"/>
        <w:szCs w:val="18"/>
      </w:rPr>
      <w:fldChar w:fldCharType="begin"/>
    </w:r>
    <w:r w:rsidRPr="00FA78E9">
      <w:rPr>
        <w:sz w:val="18"/>
        <w:szCs w:val="18"/>
      </w:rPr>
      <w:instrText xml:space="preserve"> PAGE  \* Arabic  \* MERGEFORMAT </w:instrText>
    </w:r>
    <w:r w:rsidRPr="00FA78E9">
      <w:rPr>
        <w:sz w:val="18"/>
        <w:szCs w:val="18"/>
      </w:rPr>
      <w:fldChar w:fldCharType="separate"/>
    </w:r>
    <w:r w:rsidRPr="00FA78E9">
      <w:rPr>
        <w:sz w:val="18"/>
        <w:szCs w:val="18"/>
      </w:rPr>
      <w:t>1</w:t>
    </w:r>
    <w:r w:rsidRPr="00FA78E9">
      <w:rPr>
        <w:sz w:val="18"/>
        <w:szCs w:val="18"/>
      </w:rPr>
      <w:fldChar w:fldCharType="end"/>
    </w:r>
    <w:r w:rsidRPr="00FA78E9">
      <w:rPr>
        <w:sz w:val="18"/>
        <w:szCs w:val="18"/>
      </w:rPr>
      <w:t>/</w:t>
    </w:r>
    <w:r w:rsidRPr="00FA78E9">
      <w:rPr>
        <w:sz w:val="18"/>
        <w:szCs w:val="18"/>
      </w:rPr>
      <w:fldChar w:fldCharType="begin"/>
    </w:r>
    <w:r w:rsidRPr="00FA78E9">
      <w:rPr>
        <w:sz w:val="18"/>
        <w:szCs w:val="18"/>
      </w:rPr>
      <w:instrText xml:space="preserve"> NUMPAGES  \* Arabic  \* MERGEFORMAT </w:instrText>
    </w:r>
    <w:r w:rsidRPr="00FA78E9">
      <w:rPr>
        <w:sz w:val="18"/>
        <w:szCs w:val="18"/>
      </w:rPr>
      <w:fldChar w:fldCharType="separate"/>
    </w:r>
    <w:r w:rsidRPr="00FA78E9">
      <w:rPr>
        <w:sz w:val="18"/>
        <w:szCs w:val="18"/>
      </w:rPr>
      <w:t>9</w:t>
    </w:r>
    <w:r w:rsidRPr="00FA78E9">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869C2" w14:textId="3ED890C9" w:rsidR="000A57E2" w:rsidRPr="00FA78E9" w:rsidRDefault="00007EB1" w:rsidP="00007EB1">
    <w:pPr>
      <w:pStyle w:val="Fuzeile"/>
      <w:tabs>
        <w:tab w:val="clear" w:pos="4536"/>
        <w:tab w:val="center" w:leader="underscore" w:pos="9072"/>
      </w:tabs>
      <w:rPr>
        <w:sz w:val="18"/>
        <w:szCs w:val="18"/>
      </w:rPr>
    </w:pPr>
    <w:r w:rsidRPr="00FA78E9">
      <w:rPr>
        <w:noProof/>
        <w:sz w:val="18"/>
        <w:szCs w:val="18"/>
        <w:lang w:val="de-AT" w:eastAsia="de-AT"/>
      </w:rPr>
      <w:tab/>
    </w:r>
  </w:p>
  <w:p w14:paraId="21FDFF09" w14:textId="3473C8B2" w:rsidR="000A57E2" w:rsidRPr="00FA78E9" w:rsidRDefault="000A57E2">
    <w:pPr>
      <w:pStyle w:val="Fuzeile"/>
      <w:rPr>
        <w:sz w:val="18"/>
        <w:szCs w:val="18"/>
      </w:rPr>
    </w:pPr>
    <w:r w:rsidRPr="00FA78E9">
      <w:rPr>
        <w:sz w:val="18"/>
        <w:szCs w:val="18"/>
      </w:rPr>
      <w:t>Lehrplan</w:t>
    </w:r>
    <w:r w:rsidR="00007EB1" w:rsidRPr="00FA78E9">
      <w:rPr>
        <w:sz w:val="18"/>
        <w:szCs w:val="18"/>
      </w:rPr>
      <w:t xml:space="preserve"> Universitätskurs „Grundlagen Holzbau“, März 2024</w:t>
    </w:r>
    <w:r w:rsidR="00007EB1" w:rsidRPr="00FA78E9">
      <w:rPr>
        <w:sz w:val="18"/>
        <w:szCs w:val="18"/>
      </w:rPr>
      <w:tab/>
    </w:r>
    <w:r w:rsidR="00007EB1" w:rsidRPr="00FA78E9">
      <w:rPr>
        <w:sz w:val="18"/>
        <w:szCs w:val="18"/>
      </w:rPr>
      <w:fldChar w:fldCharType="begin"/>
    </w:r>
    <w:r w:rsidR="00007EB1" w:rsidRPr="00FA78E9">
      <w:rPr>
        <w:sz w:val="18"/>
        <w:szCs w:val="18"/>
      </w:rPr>
      <w:instrText xml:space="preserve"> PAGE  \* Arabic  \* MERGEFORMAT </w:instrText>
    </w:r>
    <w:r w:rsidR="00007EB1" w:rsidRPr="00FA78E9">
      <w:rPr>
        <w:sz w:val="18"/>
        <w:szCs w:val="18"/>
      </w:rPr>
      <w:fldChar w:fldCharType="separate"/>
    </w:r>
    <w:r w:rsidR="00007EB1" w:rsidRPr="00FA78E9">
      <w:rPr>
        <w:noProof/>
        <w:sz w:val="18"/>
        <w:szCs w:val="18"/>
      </w:rPr>
      <w:t>4</w:t>
    </w:r>
    <w:r w:rsidR="00007EB1" w:rsidRPr="00FA78E9">
      <w:rPr>
        <w:sz w:val="18"/>
        <w:szCs w:val="18"/>
      </w:rPr>
      <w:fldChar w:fldCharType="end"/>
    </w:r>
    <w:r w:rsidR="00007EB1" w:rsidRPr="00FA78E9">
      <w:rPr>
        <w:sz w:val="18"/>
        <w:szCs w:val="18"/>
      </w:rPr>
      <w:t>/</w:t>
    </w:r>
    <w:r w:rsidR="00007EB1" w:rsidRPr="00FA78E9">
      <w:rPr>
        <w:sz w:val="18"/>
        <w:szCs w:val="18"/>
      </w:rPr>
      <w:fldChar w:fldCharType="begin"/>
    </w:r>
    <w:r w:rsidR="00007EB1" w:rsidRPr="00FA78E9">
      <w:rPr>
        <w:sz w:val="18"/>
        <w:szCs w:val="18"/>
      </w:rPr>
      <w:instrText xml:space="preserve"> NUMPAGES  \* Arabic  \* MERGEFORMAT </w:instrText>
    </w:r>
    <w:r w:rsidR="00007EB1" w:rsidRPr="00FA78E9">
      <w:rPr>
        <w:sz w:val="18"/>
        <w:szCs w:val="18"/>
      </w:rPr>
      <w:fldChar w:fldCharType="separate"/>
    </w:r>
    <w:r w:rsidR="00007EB1" w:rsidRPr="00FA78E9">
      <w:rPr>
        <w:noProof/>
        <w:sz w:val="18"/>
        <w:szCs w:val="18"/>
      </w:rPr>
      <w:t>9</w:t>
    </w:r>
    <w:r w:rsidR="00007EB1" w:rsidRPr="00FA78E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3A290" w14:textId="77777777" w:rsidR="00B00CDA" w:rsidRDefault="00B00CDA">
      <w:r>
        <w:separator/>
      </w:r>
    </w:p>
  </w:footnote>
  <w:footnote w:type="continuationSeparator" w:id="0">
    <w:p w14:paraId="5DBA894E" w14:textId="77777777" w:rsidR="00B00CDA" w:rsidRDefault="00B0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D50DE" w14:textId="77777777" w:rsidR="000A57E2" w:rsidRDefault="000A57E2" w:rsidP="00822A2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1F418E8" w14:textId="77777777" w:rsidR="000A57E2" w:rsidRDefault="000A57E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22615" w14:textId="77777777" w:rsidR="000A57E2" w:rsidRPr="00C92598" w:rsidRDefault="000A57E2" w:rsidP="00313CAE">
    <w:pPr>
      <w:jc w:val="center"/>
      <w:rPr>
        <w:b/>
        <w:bCs/>
        <w:sz w:val="24"/>
        <w:szCs w:val="24"/>
      </w:rPr>
    </w:pPr>
    <w:r w:rsidRPr="00C92598">
      <w:rPr>
        <w:b/>
        <w:bCs/>
        <w:sz w:val="24"/>
        <w:szCs w:val="24"/>
      </w:rPr>
      <w:t>Technische Universität Graz</w:t>
    </w:r>
  </w:p>
  <w:p w14:paraId="0B4BA4B6" w14:textId="77777777" w:rsidR="000A57E2" w:rsidRPr="00C92598" w:rsidRDefault="000A57E2" w:rsidP="00313CAE">
    <w:pPr>
      <w:jc w:val="center"/>
      <w:rPr>
        <w:b/>
        <w:bCs/>
      </w:rPr>
    </w:pPr>
  </w:p>
  <w:p w14:paraId="6FFA8C9E" w14:textId="77777777" w:rsidR="000A57E2" w:rsidRPr="00C92598" w:rsidRDefault="000A57E2" w:rsidP="00313CAE">
    <w:pPr>
      <w:jc w:val="center"/>
      <w:rPr>
        <w:b/>
        <w:bCs/>
        <w:sz w:val="20"/>
        <w:szCs w:val="20"/>
      </w:rPr>
    </w:pPr>
    <w:r>
      <w:rPr>
        <w:noProof/>
        <w:lang w:val="de-AT" w:eastAsia="de-AT"/>
      </w:rPr>
      <mc:AlternateContent>
        <mc:Choice Requires="wps">
          <w:drawing>
            <wp:anchor distT="0" distB="0" distL="114300" distR="114300" simplePos="0" relativeHeight="251660288" behindDoc="0" locked="0" layoutInCell="1" allowOverlap="1" wp14:anchorId="6AB168B4" wp14:editId="330AC2CB">
              <wp:simplePos x="0" y="0"/>
              <wp:positionH relativeFrom="column">
                <wp:posOffset>114300</wp:posOffset>
              </wp:positionH>
              <wp:positionV relativeFrom="paragraph">
                <wp:posOffset>0</wp:posOffset>
              </wp:positionV>
              <wp:extent cx="5715000" cy="0"/>
              <wp:effectExtent l="9525"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504FB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3VEg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" strokeweight="1.5pt"/>
          </w:pict>
        </mc:Fallback>
      </mc:AlternateContent>
    </w:r>
  </w:p>
  <w:p w14:paraId="79F17392" w14:textId="77777777" w:rsidR="000A57E2" w:rsidRDefault="000A57E2" w:rsidP="00313CAE"/>
  <w:p w14:paraId="3EEB90B7" w14:textId="77777777" w:rsidR="000A57E2" w:rsidRPr="00313CAE" w:rsidRDefault="000A57E2" w:rsidP="00313C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5B4B"/>
    <w:multiLevelType w:val="hybridMultilevel"/>
    <w:tmpl w:val="E0C2272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3963FD"/>
    <w:multiLevelType w:val="hybridMultilevel"/>
    <w:tmpl w:val="ABD0E2F2"/>
    <w:lvl w:ilvl="0" w:tplc="A192C850">
      <w:numFmt w:val="bullet"/>
      <w:lvlText w:val="-"/>
      <w:lvlJc w:val="left"/>
      <w:pPr>
        <w:ind w:left="1065" w:hanging="360"/>
      </w:pPr>
      <w:rPr>
        <w:rFonts w:ascii="Arial" w:eastAsia="Times New Roman" w:hAnsi="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cs="Wingdings" w:hint="default"/>
      </w:rPr>
    </w:lvl>
    <w:lvl w:ilvl="3" w:tplc="04090001" w:tentative="1">
      <w:start w:val="1"/>
      <w:numFmt w:val="bullet"/>
      <w:lvlText w:val=""/>
      <w:lvlJc w:val="left"/>
      <w:pPr>
        <w:ind w:left="3225" w:hanging="360"/>
      </w:pPr>
      <w:rPr>
        <w:rFonts w:ascii="Symbol" w:hAnsi="Symbol" w:cs="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cs="Wingdings" w:hint="default"/>
      </w:rPr>
    </w:lvl>
    <w:lvl w:ilvl="6" w:tplc="04090001" w:tentative="1">
      <w:start w:val="1"/>
      <w:numFmt w:val="bullet"/>
      <w:lvlText w:val=""/>
      <w:lvlJc w:val="left"/>
      <w:pPr>
        <w:ind w:left="5385" w:hanging="360"/>
      </w:pPr>
      <w:rPr>
        <w:rFonts w:ascii="Symbol" w:hAnsi="Symbol" w:cs="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cs="Wingdings" w:hint="default"/>
      </w:rPr>
    </w:lvl>
  </w:abstractNum>
  <w:abstractNum w:abstractNumId="2" w15:restartNumberingAfterBreak="0">
    <w:nsid w:val="0F4D2721"/>
    <w:multiLevelType w:val="hybridMultilevel"/>
    <w:tmpl w:val="D3C24B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86F0951"/>
    <w:multiLevelType w:val="hybridMultilevel"/>
    <w:tmpl w:val="FAE60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35521"/>
    <w:multiLevelType w:val="hybridMultilevel"/>
    <w:tmpl w:val="42FE672E"/>
    <w:lvl w:ilvl="0" w:tplc="04070005">
      <w:start w:val="1"/>
      <w:numFmt w:val="bullet"/>
      <w:lvlText w:val=""/>
      <w:lvlJc w:val="left"/>
      <w:pPr>
        <w:tabs>
          <w:tab w:val="num" w:pos="720"/>
        </w:tabs>
        <w:ind w:left="720" w:hanging="360"/>
      </w:pPr>
      <w:rPr>
        <w:rFonts w:ascii="Wingdings" w:hAnsi="Wingdings" w:cs="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1BC57CE"/>
    <w:multiLevelType w:val="hybridMultilevel"/>
    <w:tmpl w:val="D89C9AC6"/>
    <w:lvl w:ilvl="0" w:tplc="D502632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54044E8"/>
    <w:multiLevelType w:val="hybridMultilevel"/>
    <w:tmpl w:val="745A4078"/>
    <w:lvl w:ilvl="0" w:tplc="A192C850">
      <w:numFmt w:val="bullet"/>
      <w:lvlText w:val="-"/>
      <w:lvlJc w:val="left"/>
      <w:pPr>
        <w:ind w:left="851" w:hanging="360"/>
      </w:pPr>
      <w:rPr>
        <w:rFonts w:ascii="Arial" w:eastAsia="Times New Roman" w:hAnsi="Arial"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cs="Wingdings" w:hint="default"/>
      </w:rPr>
    </w:lvl>
    <w:lvl w:ilvl="3" w:tplc="04090001" w:tentative="1">
      <w:start w:val="1"/>
      <w:numFmt w:val="bullet"/>
      <w:lvlText w:val=""/>
      <w:lvlJc w:val="left"/>
      <w:pPr>
        <w:ind w:left="2666" w:hanging="360"/>
      </w:pPr>
      <w:rPr>
        <w:rFonts w:ascii="Symbol" w:hAnsi="Symbol" w:cs="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cs="Wingdings" w:hint="default"/>
      </w:rPr>
    </w:lvl>
    <w:lvl w:ilvl="6" w:tplc="04090001" w:tentative="1">
      <w:start w:val="1"/>
      <w:numFmt w:val="bullet"/>
      <w:lvlText w:val=""/>
      <w:lvlJc w:val="left"/>
      <w:pPr>
        <w:ind w:left="4826" w:hanging="360"/>
      </w:pPr>
      <w:rPr>
        <w:rFonts w:ascii="Symbol" w:hAnsi="Symbol" w:cs="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cs="Wingdings" w:hint="default"/>
      </w:rPr>
    </w:lvl>
  </w:abstractNum>
  <w:abstractNum w:abstractNumId="7" w15:restartNumberingAfterBreak="0">
    <w:nsid w:val="2CBB2E33"/>
    <w:multiLevelType w:val="hybridMultilevel"/>
    <w:tmpl w:val="7D107588"/>
    <w:lvl w:ilvl="0" w:tplc="C8CCB02E">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366E57D7"/>
    <w:multiLevelType w:val="hybridMultilevel"/>
    <w:tmpl w:val="D97CE7A0"/>
    <w:lvl w:ilvl="0" w:tplc="8C10E51A">
      <w:start w:val="6"/>
      <w:numFmt w:val="bullet"/>
      <w:lvlText w:val="-"/>
      <w:lvlJc w:val="left"/>
      <w:pPr>
        <w:ind w:left="1069" w:hanging="360"/>
      </w:pPr>
      <w:rPr>
        <w:rFonts w:ascii="Arial" w:eastAsia="Times New Roman" w:hAnsi="Arial" w:cs="Aria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9" w15:restartNumberingAfterBreak="0">
    <w:nsid w:val="3FC94B71"/>
    <w:multiLevelType w:val="hybridMultilevel"/>
    <w:tmpl w:val="C84A6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D05F15"/>
    <w:multiLevelType w:val="hybridMultilevel"/>
    <w:tmpl w:val="0B68E8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DC54D16"/>
    <w:multiLevelType w:val="hybridMultilevel"/>
    <w:tmpl w:val="3AC043B6"/>
    <w:lvl w:ilvl="0" w:tplc="23108CCE">
      <w:numFmt w:val="bullet"/>
      <w:lvlText w:val="-"/>
      <w:lvlJc w:val="left"/>
      <w:pPr>
        <w:ind w:left="720" w:hanging="360"/>
      </w:pPr>
      <w:rPr>
        <w:rFonts w:ascii="Calibri" w:eastAsia="Calibri" w:hAnsi="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4DD05939"/>
    <w:multiLevelType w:val="hybridMultilevel"/>
    <w:tmpl w:val="9198D78C"/>
    <w:lvl w:ilvl="0" w:tplc="B6B49B0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5A7A3EB5"/>
    <w:multiLevelType w:val="hybridMultilevel"/>
    <w:tmpl w:val="A76C73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5D874B17"/>
    <w:multiLevelType w:val="hybridMultilevel"/>
    <w:tmpl w:val="FE70D0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57B5AF5"/>
    <w:multiLevelType w:val="hybridMultilevel"/>
    <w:tmpl w:val="7584D8FA"/>
    <w:lvl w:ilvl="0" w:tplc="5FFCB2C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66615CC"/>
    <w:multiLevelType w:val="hybridMultilevel"/>
    <w:tmpl w:val="B9FC7D60"/>
    <w:lvl w:ilvl="0" w:tplc="04070005">
      <w:start w:val="1"/>
      <w:numFmt w:val="bullet"/>
      <w:lvlText w:val=""/>
      <w:lvlJc w:val="left"/>
      <w:pPr>
        <w:tabs>
          <w:tab w:val="num" w:pos="720"/>
        </w:tabs>
        <w:ind w:left="720" w:hanging="360"/>
      </w:pPr>
      <w:rPr>
        <w:rFonts w:ascii="Wingdings" w:hAnsi="Wingdings" w:cs="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A382903"/>
    <w:multiLevelType w:val="hybridMultilevel"/>
    <w:tmpl w:val="28468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6A7F84"/>
    <w:multiLevelType w:val="hybridMultilevel"/>
    <w:tmpl w:val="5DF4B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B30167"/>
    <w:multiLevelType w:val="hybridMultilevel"/>
    <w:tmpl w:val="7F740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E4533"/>
    <w:multiLevelType w:val="hybridMultilevel"/>
    <w:tmpl w:val="45E83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65DC9"/>
    <w:multiLevelType w:val="hybridMultilevel"/>
    <w:tmpl w:val="A620A73C"/>
    <w:lvl w:ilvl="0" w:tplc="A192C850">
      <w:numFmt w:val="bullet"/>
      <w:lvlText w:val="-"/>
      <w:lvlJc w:val="left"/>
      <w:pPr>
        <w:ind w:left="1428" w:hanging="360"/>
      </w:pPr>
      <w:rPr>
        <w:rFonts w:ascii="Arial" w:eastAsia="Times New Roman" w:hAnsi="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cs="Wingdings" w:hint="default"/>
      </w:rPr>
    </w:lvl>
    <w:lvl w:ilvl="3" w:tplc="04090001" w:tentative="1">
      <w:start w:val="1"/>
      <w:numFmt w:val="bullet"/>
      <w:lvlText w:val=""/>
      <w:lvlJc w:val="left"/>
      <w:pPr>
        <w:ind w:left="3588" w:hanging="360"/>
      </w:pPr>
      <w:rPr>
        <w:rFonts w:ascii="Symbol" w:hAnsi="Symbol" w:cs="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cs="Wingdings" w:hint="default"/>
      </w:rPr>
    </w:lvl>
    <w:lvl w:ilvl="6" w:tplc="04090001" w:tentative="1">
      <w:start w:val="1"/>
      <w:numFmt w:val="bullet"/>
      <w:lvlText w:val=""/>
      <w:lvlJc w:val="left"/>
      <w:pPr>
        <w:ind w:left="5748" w:hanging="360"/>
      </w:pPr>
      <w:rPr>
        <w:rFonts w:ascii="Symbol" w:hAnsi="Symbol" w:cs="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cs="Wingdings" w:hint="default"/>
      </w:rPr>
    </w:lvl>
  </w:abstractNum>
  <w:num w:numId="1">
    <w:abstractNumId w:val="2"/>
  </w:num>
  <w:num w:numId="2">
    <w:abstractNumId w:val="16"/>
  </w:num>
  <w:num w:numId="3">
    <w:abstractNumId w:val="4"/>
  </w:num>
  <w:num w:numId="4">
    <w:abstractNumId w:val="1"/>
  </w:num>
  <w:num w:numId="5">
    <w:abstractNumId w:val="6"/>
  </w:num>
  <w:num w:numId="6">
    <w:abstractNumId w:val="12"/>
  </w:num>
  <w:num w:numId="7">
    <w:abstractNumId w:val="5"/>
  </w:num>
  <w:num w:numId="8">
    <w:abstractNumId w:val="19"/>
  </w:num>
  <w:num w:numId="9">
    <w:abstractNumId w:val="7"/>
  </w:num>
  <w:num w:numId="10">
    <w:abstractNumId w:val="20"/>
  </w:num>
  <w:num w:numId="11">
    <w:abstractNumId w:val="21"/>
  </w:num>
  <w:num w:numId="12">
    <w:abstractNumId w:val="11"/>
  </w:num>
  <w:num w:numId="13">
    <w:abstractNumId w:val="9"/>
  </w:num>
  <w:num w:numId="14">
    <w:abstractNumId w:val="15"/>
  </w:num>
  <w:num w:numId="15">
    <w:abstractNumId w:val="17"/>
  </w:num>
  <w:num w:numId="16">
    <w:abstractNumId w:val="8"/>
  </w:num>
  <w:num w:numId="17">
    <w:abstractNumId w:val="10"/>
  </w:num>
  <w:num w:numId="18">
    <w:abstractNumId w:val="0"/>
  </w:num>
  <w:num w:numId="19">
    <w:abstractNumId w:val="14"/>
  </w:num>
  <w:num w:numId="20">
    <w:abstractNumId w:val="18"/>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de-DE" w:vendorID="64" w:dllVersion="6" w:nlCheck="1" w:checkStyle="0"/>
  <w:activeWritingStyle w:appName="MSWord" w:lang="de-AT" w:vendorID="64" w:dllVersion="6" w:nlCheck="1" w:checkStyle="0"/>
  <w:activeWritingStyle w:appName="MSWord" w:lang="de-DE" w:vendorID="64" w:dllVersion="0" w:nlCheck="1" w:checkStyle="0"/>
  <w:activeWritingStyle w:appName="MSWord" w:lang="de-AT" w:vendorID="64" w:dllVersion="0" w:nlCheck="1" w:checkStyle="0"/>
  <w:activeWritingStyle w:appName="MSWord" w:lang="de-DE" w:vendorID="64" w:dllVersion="4096" w:nlCheck="1" w:checkStyle="0"/>
  <w:activeWritingStyle w:appName="MSWord" w:lang="de-AT"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42"/>
    <w:rsid w:val="00007DA7"/>
    <w:rsid w:val="00007EB1"/>
    <w:rsid w:val="0001385A"/>
    <w:rsid w:val="00025664"/>
    <w:rsid w:val="0002696A"/>
    <w:rsid w:val="0003076E"/>
    <w:rsid w:val="0003133A"/>
    <w:rsid w:val="00031E64"/>
    <w:rsid w:val="00036DD3"/>
    <w:rsid w:val="0004146F"/>
    <w:rsid w:val="00041DA4"/>
    <w:rsid w:val="00044F8A"/>
    <w:rsid w:val="00055B41"/>
    <w:rsid w:val="00061635"/>
    <w:rsid w:val="00061705"/>
    <w:rsid w:val="00062C23"/>
    <w:rsid w:val="0006790C"/>
    <w:rsid w:val="00082C70"/>
    <w:rsid w:val="00090D5A"/>
    <w:rsid w:val="00094875"/>
    <w:rsid w:val="000A1D47"/>
    <w:rsid w:val="000A57E2"/>
    <w:rsid w:val="000C0DB8"/>
    <w:rsid w:val="000C1A36"/>
    <w:rsid w:val="000C3584"/>
    <w:rsid w:val="000E51C4"/>
    <w:rsid w:val="000E5C04"/>
    <w:rsid w:val="000E7FE3"/>
    <w:rsid w:val="001018E5"/>
    <w:rsid w:val="0013264C"/>
    <w:rsid w:val="00134AD7"/>
    <w:rsid w:val="00137845"/>
    <w:rsid w:val="00141A07"/>
    <w:rsid w:val="00152677"/>
    <w:rsid w:val="00155F32"/>
    <w:rsid w:val="00164FD5"/>
    <w:rsid w:val="00167026"/>
    <w:rsid w:val="0017564F"/>
    <w:rsid w:val="00181463"/>
    <w:rsid w:val="00185218"/>
    <w:rsid w:val="0019662E"/>
    <w:rsid w:val="00196D73"/>
    <w:rsid w:val="001A7030"/>
    <w:rsid w:val="001B3A3E"/>
    <w:rsid w:val="001D1688"/>
    <w:rsid w:val="001E4A0C"/>
    <w:rsid w:val="001F3154"/>
    <w:rsid w:val="001F3EA5"/>
    <w:rsid w:val="001F50C0"/>
    <w:rsid w:val="001F7197"/>
    <w:rsid w:val="00200209"/>
    <w:rsid w:val="002008A6"/>
    <w:rsid w:val="002031D1"/>
    <w:rsid w:val="002046B6"/>
    <w:rsid w:val="00206179"/>
    <w:rsid w:val="0021303F"/>
    <w:rsid w:val="00224B16"/>
    <w:rsid w:val="002260CE"/>
    <w:rsid w:val="002300B0"/>
    <w:rsid w:val="00230DE4"/>
    <w:rsid w:val="00237471"/>
    <w:rsid w:val="00254EBC"/>
    <w:rsid w:val="00260733"/>
    <w:rsid w:val="00262CA1"/>
    <w:rsid w:val="002662E3"/>
    <w:rsid w:val="0028125A"/>
    <w:rsid w:val="002852BF"/>
    <w:rsid w:val="00291B07"/>
    <w:rsid w:val="00292BE0"/>
    <w:rsid w:val="002A3998"/>
    <w:rsid w:val="002B168C"/>
    <w:rsid w:val="002B6B63"/>
    <w:rsid w:val="002B7D25"/>
    <w:rsid w:val="002D3C6E"/>
    <w:rsid w:val="002D406A"/>
    <w:rsid w:val="002E53CA"/>
    <w:rsid w:val="002F035C"/>
    <w:rsid w:val="002F3AC3"/>
    <w:rsid w:val="00300FE0"/>
    <w:rsid w:val="003012DD"/>
    <w:rsid w:val="003018AA"/>
    <w:rsid w:val="00307081"/>
    <w:rsid w:val="00307A7A"/>
    <w:rsid w:val="00312351"/>
    <w:rsid w:val="00313CAE"/>
    <w:rsid w:val="00313CE5"/>
    <w:rsid w:val="00314BA9"/>
    <w:rsid w:val="00315FF4"/>
    <w:rsid w:val="00323658"/>
    <w:rsid w:val="00323D53"/>
    <w:rsid w:val="0034052F"/>
    <w:rsid w:val="003463C1"/>
    <w:rsid w:val="00360342"/>
    <w:rsid w:val="0036255B"/>
    <w:rsid w:val="00362598"/>
    <w:rsid w:val="00366994"/>
    <w:rsid w:val="0037151A"/>
    <w:rsid w:val="0037697C"/>
    <w:rsid w:val="003839A7"/>
    <w:rsid w:val="00387ACC"/>
    <w:rsid w:val="003A00D4"/>
    <w:rsid w:val="003A16B9"/>
    <w:rsid w:val="003B11F6"/>
    <w:rsid w:val="003C0884"/>
    <w:rsid w:val="003D0CFB"/>
    <w:rsid w:val="003E1C16"/>
    <w:rsid w:val="003E613C"/>
    <w:rsid w:val="003F1E92"/>
    <w:rsid w:val="004122EA"/>
    <w:rsid w:val="0042077D"/>
    <w:rsid w:val="004212CD"/>
    <w:rsid w:val="00430CA0"/>
    <w:rsid w:val="004312AA"/>
    <w:rsid w:val="00440815"/>
    <w:rsid w:val="00443B8B"/>
    <w:rsid w:val="0045223F"/>
    <w:rsid w:val="00462E84"/>
    <w:rsid w:val="00466A63"/>
    <w:rsid w:val="00484DD1"/>
    <w:rsid w:val="004861A5"/>
    <w:rsid w:val="00496224"/>
    <w:rsid w:val="004A1ACE"/>
    <w:rsid w:val="004B07BF"/>
    <w:rsid w:val="004B439C"/>
    <w:rsid w:val="004C39AB"/>
    <w:rsid w:val="004D5AF2"/>
    <w:rsid w:val="004D7B44"/>
    <w:rsid w:val="004E087D"/>
    <w:rsid w:val="004E26CF"/>
    <w:rsid w:val="004E722E"/>
    <w:rsid w:val="004F1FB7"/>
    <w:rsid w:val="00501BB2"/>
    <w:rsid w:val="00513D57"/>
    <w:rsid w:val="00520EE7"/>
    <w:rsid w:val="0052282F"/>
    <w:rsid w:val="00543773"/>
    <w:rsid w:val="00551FDF"/>
    <w:rsid w:val="0055460F"/>
    <w:rsid w:val="00565E8B"/>
    <w:rsid w:val="005718B0"/>
    <w:rsid w:val="00580D6D"/>
    <w:rsid w:val="00586C3B"/>
    <w:rsid w:val="00596B12"/>
    <w:rsid w:val="005A484B"/>
    <w:rsid w:val="005B112A"/>
    <w:rsid w:val="005C1362"/>
    <w:rsid w:val="005C1DBE"/>
    <w:rsid w:val="005F004D"/>
    <w:rsid w:val="005F0BFA"/>
    <w:rsid w:val="005F6906"/>
    <w:rsid w:val="0060400D"/>
    <w:rsid w:val="0064465D"/>
    <w:rsid w:val="00654CC0"/>
    <w:rsid w:val="0065732F"/>
    <w:rsid w:val="00660C67"/>
    <w:rsid w:val="00671063"/>
    <w:rsid w:val="006721AB"/>
    <w:rsid w:val="00681E2E"/>
    <w:rsid w:val="00683425"/>
    <w:rsid w:val="0068508E"/>
    <w:rsid w:val="006854C3"/>
    <w:rsid w:val="006937ED"/>
    <w:rsid w:val="006C206E"/>
    <w:rsid w:val="006C25DB"/>
    <w:rsid w:val="006C2B41"/>
    <w:rsid w:val="006E4F15"/>
    <w:rsid w:val="006E509A"/>
    <w:rsid w:val="006E70CE"/>
    <w:rsid w:val="006F1A40"/>
    <w:rsid w:val="006F6BD2"/>
    <w:rsid w:val="00704BE3"/>
    <w:rsid w:val="00714397"/>
    <w:rsid w:val="00717942"/>
    <w:rsid w:val="0072696E"/>
    <w:rsid w:val="00726C43"/>
    <w:rsid w:val="00727961"/>
    <w:rsid w:val="00732C1C"/>
    <w:rsid w:val="0073405E"/>
    <w:rsid w:val="00736528"/>
    <w:rsid w:val="00743D09"/>
    <w:rsid w:val="00743DCA"/>
    <w:rsid w:val="0074755E"/>
    <w:rsid w:val="00750292"/>
    <w:rsid w:val="00753140"/>
    <w:rsid w:val="00753388"/>
    <w:rsid w:val="00763292"/>
    <w:rsid w:val="00765B8F"/>
    <w:rsid w:val="007714D6"/>
    <w:rsid w:val="00773A13"/>
    <w:rsid w:val="00774117"/>
    <w:rsid w:val="00774530"/>
    <w:rsid w:val="007874B8"/>
    <w:rsid w:val="007A3C4C"/>
    <w:rsid w:val="007A675D"/>
    <w:rsid w:val="007B6B5B"/>
    <w:rsid w:val="007C2B25"/>
    <w:rsid w:val="007C53D4"/>
    <w:rsid w:val="007D40E0"/>
    <w:rsid w:val="007E5C85"/>
    <w:rsid w:val="007F7288"/>
    <w:rsid w:val="00801360"/>
    <w:rsid w:val="0081429D"/>
    <w:rsid w:val="00821CD8"/>
    <w:rsid w:val="00822308"/>
    <w:rsid w:val="00822875"/>
    <w:rsid w:val="00822A29"/>
    <w:rsid w:val="0082758E"/>
    <w:rsid w:val="00836E4E"/>
    <w:rsid w:val="00844230"/>
    <w:rsid w:val="00844744"/>
    <w:rsid w:val="008447B6"/>
    <w:rsid w:val="00847101"/>
    <w:rsid w:val="008560FA"/>
    <w:rsid w:val="0085681B"/>
    <w:rsid w:val="00856887"/>
    <w:rsid w:val="00864615"/>
    <w:rsid w:val="00867AEF"/>
    <w:rsid w:val="0089028D"/>
    <w:rsid w:val="00890408"/>
    <w:rsid w:val="00892047"/>
    <w:rsid w:val="008A3DC8"/>
    <w:rsid w:val="008A7329"/>
    <w:rsid w:val="008B70AA"/>
    <w:rsid w:val="008D6756"/>
    <w:rsid w:val="008D7E30"/>
    <w:rsid w:val="008F11DF"/>
    <w:rsid w:val="008F13A4"/>
    <w:rsid w:val="00931831"/>
    <w:rsid w:val="00931AF9"/>
    <w:rsid w:val="00932C56"/>
    <w:rsid w:val="009358AC"/>
    <w:rsid w:val="0093621F"/>
    <w:rsid w:val="00937CD0"/>
    <w:rsid w:val="0095409C"/>
    <w:rsid w:val="009555FB"/>
    <w:rsid w:val="00964342"/>
    <w:rsid w:val="0097478F"/>
    <w:rsid w:val="0097608C"/>
    <w:rsid w:val="00981A11"/>
    <w:rsid w:val="00983A51"/>
    <w:rsid w:val="00986D74"/>
    <w:rsid w:val="00995E90"/>
    <w:rsid w:val="009B16E8"/>
    <w:rsid w:val="009F29D7"/>
    <w:rsid w:val="009F56EE"/>
    <w:rsid w:val="00A01138"/>
    <w:rsid w:val="00A06721"/>
    <w:rsid w:val="00A2115A"/>
    <w:rsid w:val="00A257A4"/>
    <w:rsid w:val="00A36A0A"/>
    <w:rsid w:val="00A4183D"/>
    <w:rsid w:val="00A46B3A"/>
    <w:rsid w:val="00A50943"/>
    <w:rsid w:val="00A6122C"/>
    <w:rsid w:val="00A61E5E"/>
    <w:rsid w:val="00A659A1"/>
    <w:rsid w:val="00A769B4"/>
    <w:rsid w:val="00A842B3"/>
    <w:rsid w:val="00A96C63"/>
    <w:rsid w:val="00AA02FC"/>
    <w:rsid w:val="00AA1F89"/>
    <w:rsid w:val="00AA352D"/>
    <w:rsid w:val="00AA6A63"/>
    <w:rsid w:val="00AB75B4"/>
    <w:rsid w:val="00AC23BA"/>
    <w:rsid w:val="00AC6B0E"/>
    <w:rsid w:val="00AC6B37"/>
    <w:rsid w:val="00AD31A4"/>
    <w:rsid w:val="00AE1E72"/>
    <w:rsid w:val="00AE7530"/>
    <w:rsid w:val="00AE7EAA"/>
    <w:rsid w:val="00AF05E4"/>
    <w:rsid w:val="00AF3C70"/>
    <w:rsid w:val="00AF6E43"/>
    <w:rsid w:val="00B0056A"/>
    <w:rsid w:val="00B00CDA"/>
    <w:rsid w:val="00B11988"/>
    <w:rsid w:val="00B11DBE"/>
    <w:rsid w:val="00B16B69"/>
    <w:rsid w:val="00B17C32"/>
    <w:rsid w:val="00B226F7"/>
    <w:rsid w:val="00B3212C"/>
    <w:rsid w:val="00B343F0"/>
    <w:rsid w:val="00B34820"/>
    <w:rsid w:val="00B422B8"/>
    <w:rsid w:val="00B52E47"/>
    <w:rsid w:val="00B81FBD"/>
    <w:rsid w:val="00B83EC4"/>
    <w:rsid w:val="00B87462"/>
    <w:rsid w:val="00BB44FD"/>
    <w:rsid w:val="00BC4878"/>
    <w:rsid w:val="00BE5D0A"/>
    <w:rsid w:val="00C060AD"/>
    <w:rsid w:val="00C21816"/>
    <w:rsid w:val="00C2498B"/>
    <w:rsid w:val="00C25B6F"/>
    <w:rsid w:val="00C32D1B"/>
    <w:rsid w:val="00C40386"/>
    <w:rsid w:val="00C40D2E"/>
    <w:rsid w:val="00C40E7B"/>
    <w:rsid w:val="00C4331E"/>
    <w:rsid w:val="00C4559A"/>
    <w:rsid w:val="00C45D2D"/>
    <w:rsid w:val="00C46A36"/>
    <w:rsid w:val="00C52E3C"/>
    <w:rsid w:val="00C61F1F"/>
    <w:rsid w:val="00C777F0"/>
    <w:rsid w:val="00C81593"/>
    <w:rsid w:val="00C8475C"/>
    <w:rsid w:val="00C850C1"/>
    <w:rsid w:val="00C92598"/>
    <w:rsid w:val="00C974C5"/>
    <w:rsid w:val="00CA40F2"/>
    <w:rsid w:val="00CD056D"/>
    <w:rsid w:val="00CD1A77"/>
    <w:rsid w:val="00CD216A"/>
    <w:rsid w:val="00CD23A3"/>
    <w:rsid w:val="00CD2EF9"/>
    <w:rsid w:val="00CD5DE4"/>
    <w:rsid w:val="00CE6B56"/>
    <w:rsid w:val="00CE74EA"/>
    <w:rsid w:val="00CF07E9"/>
    <w:rsid w:val="00D1070D"/>
    <w:rsid w:val="00D17392"/>
    <w:rsid w:val="00D20C92"/>
    <w:rsid w:val="00D22AA5"/>
    <w:rsid w:val="00D44805"/>
    <w:rsid w:val="00D46F01"/>
    <w:rsid w:val="00D52EA2"/>
    <w:rsid w:val="00D714C6"/>
    <w:rsid w:val="00D7235E"/>
    <w:rsid w:val="00D72670"/>
    <w:rsid w:val="00D72F2E"/>
    <w:rsid w:val="00D76AC6"/>
    <w:rsid w:val="00DA50B7"/>
    <w:rsid w:val="00DB704B"/>
    <w:rsid w:val="00DD6BB3"/>
    <w:rsid w:val="00DE6CF6"/>
    <w:rsid w:val="00DF479C"/>
    <w:rsid w:val="00DF54C6"/>
    <w:rsid w:val="00E0052A"/>
    <w:rsid w:val="00E05E01"/>
    <w:rsid w:val="00E12DB6"/>
    <w:rsid w:val="00E166D3"/>
    <w:rsid w:val="00E16E07"/>
    <w:rsid w:val="00E31207"/>
    <w:rsid w:val="00E36F66"/>
    <w:rsid w:val="00E445A1"/>
    <w:rsid w:val="00E638BD"/>
    <w:rsid w:val="00E66C60"/>
    <w:rsid w:val="00E749AF"/>
    <w:rsid w:val="00EA5320"/>
    <w:rsid w:val="00EA5C23"/>
    <w:rsid w:val="00EB1CCB"/>
    <w:rsid w:val="00EB2585"/>
    <w:rsid w:val="00EB3DF5"/>
    <w:rsid w:val="00ED3B36"/>
    <w:rsid w:val="00ED7587"/>
    <w:rsid w:val="00EF4751"/>
    <w:rsid w:val="00F03370"/>
    <w:rsid w:val="00F219A3"/>
    <w:rsid w:val="00F22966"/>
    <w:rsid w:val="00F56046"/>
    <w:rsid w:val="00F60DA1"/>
    <w:rsid w:val="00F638EC"/>
    <w:rsid w:val="00F70A38"/>
    <w:rsid w:val="00F75E6F"/>
    <w:rsid w:val="00F855C2"/>
    <w:rsid w:val="00F96EFE"/>
    <w:rsid w:val="00FA68B4"/>
    <w:rsid w:val="00FA78E9"/>
    <w:rsid w:val="00FB284B"/>
    <w:rsid w:val="00FB3EA7"/>
    <w:rsid w:val="00FC4E8D"/>
    <w:rsid w:val="00FD5F5E"/>
    <w:rsid w:val="00FF0C86"/>
    <w:rsid w:val="00FF74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0DF9B2"/>
  <w15:docId w15:val="{A001FB86-B1CB-495D-B058-24B0F3C2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2C23"/>
    <w:rPr>
      <w:rFonts w:ascii="Arial" w:hAnsi="Arial" w:cs="Arial"/>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3018AA"/>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4212CD"/>
    <w:pPr>
      <w:tabs>
        <w:tab w:val="center" w:pos="4536"/>
        <w:tab w:val="right" w:pos="9072"/>
      </w:tabs>
    </w:pPr>
  </w:style>
  <w:style w:type="character" w:customStyle="1" w:styleId="KopfzeileZchn">
    <w:name w:val="Kopfzeile Zchn"/>
    <w:basedOn w:val="Absatz-Standardschriftart"/>
    <w:link w:val="Kopfzeile"/>
    <w:uiPriority w:val="99"/>
    <w:semiHidden/>
    <w:rsid w:val="00663D1C"/>
    <w:rPr>
      <w:rFonts w:ascii="Arial" w:hAnsi="Arial" w:cs="Arial"/>
      <w:lang w:val="de-DE" w:eastAsia="de-DE"/>
    </w:rPr>
  </w:style>
  <w:style w:type="character" w:styleId="Seitenzahl">
    <w:name w:val="page number"/>
    <w:basedOn w:val="Absatz-Standardschriftart"/>
    <w:uiPriority w:val="99"/>
    <w:rsid w:val="004212CD"/>
  </w:style>
  <w:style w:type="paragraph" w:styleId="Fuzeile">
    <w:name w:val="footer"/>
    <w:basedOn w:val="Standard"/>
    <w:link w:val="FuzeileZchn"/>
    <w:uiPriority w:val="99"/>
    <w:rsid w:val="00313CAE"/>
    <w:pPr>
      <w:tabs>
        <w:tab w:val="center" w:pos="4536"/>
        <w:tab w:val="right" w:pos="9072"/>
      </w:tabs>
    </w:pPr>
  </w:style>
  <w:style w:type="character" w:customStyle="1" w:styleId="FuzeileZchn">
    <w:name w:val="Fußzeile Zchn"/>
    <w:basedOn w:val="Absatz-Standardschriftart"/>
    <w:link w:val="Fuzeile"/>
    <w:uiPriority w:val="99"/>
    <w:rsid w:val="00313CAE"/>
    <w:rPr>
      <w:rFonts w:ascii="Arial" w:hAnsi="Arial" w:cs="Arial"/>
      <w:sz w:val="24"/>
      <w:szCs w:val="24"/>
    </w:rPr>
  </w:style>
  <w:style w:type="paragraph" w:styleId="Sprechblasentext">
    <w:name w:val="Balloon Text"/>
    <w:basedOn w:val="Standard"/>
    <w:link w:val="SprechblasentextZchn"/>
    <w:uiPriority w:val="99"/>
    <w:semiHidden/>
    <w:rsid w:val="004C39A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C39AB"/>
    <w:rPr>
      <w:rFonts w:ascii="Tahoma" w:hAnsi="Tahoma" w:cs="Tahoma"/>
      <w:sz w:val="16"/>
      <w:szCs w:val="16"/>
      <w:lang w:val="de-DE" w:eastAsia="de-DE"/>
    </w:rPr>
  </w:style>
  <w:style w:type="paragraph" w:styleId="Listenabsatz">
    <w:name w:val="List Paragraph"/>
    <w:basedOn w:val="Standard"/>
    <w:uiPriority w:val="34"/>
    <w:qFormat/>
    <w:rsid w:val="004E087D"/>
    <w:pPr>
      <w:ind w:left="720"/>
      <w:contextualSpacing/>
    </w:pPr>
  </w:style>
  <w:style w:type="character" w:styleId="Hyperlink">
    <w:name w:val="Hyperlink"/>
    <w:basedOn w:val="Absatz-Standardschriftart"/>
    <w:uiPriority w:val="99"/>
    <w:rsid w:val="00D72670"/>
    <w:rPr>
      <w:rFonts w:cs="Times New Roman"/>
      <w:color w:val="0000FF"/>
      <w:u w:val="single"/>
    </w:rPr>
  </w:style>
  <w:style w:type="paragraph" w:styleId="Funotentext">
    <w:name w:val="footnote text"/>
    <w:basedOn w:val="Standard"/>
    <w:link w:val="FunotentextZchn"/>
    <w:uiPriority w:val="99"/>
    <w:semiHidden/>
    <w:rsid w:val="00E05E01"/>
    <w:rPr>
      <w:sz w:val="20"/>
      <w:szCs w:val="20"/>
    </w:rPr>
  </w:style>
  <w:style w:type="character" w:customStyle="1" w:styleId="FunotentextZchn">
    <w:name w:val="Fußnotentext Zchn"/>
    <w:basedOn w:val="Absatz-Standardschriftart"/>
    <w:link w:val="Funotentext"/>
    <w:uiPriority w:val="99"/>
    <w:rsid w:val="00E05E01"/>
    <w:rPr>
      <w:rFonts w:ascii="Arial" w:hAnsi="Arial" w:cs="Arial"/>
      <w:lang w:val="de-DE" w:eastAsia="de-DE"/>
    </w:rPr>
  </w:style>
  <w:style w:type="character" w:styleId="Funotenzeichen">
    <w:name w:val="footnote reference"/>
    <w:basedOn w:val="Absatz-Standardschriftart"/>
    <w:uiPriority w:val="99"/>
    <w:semiHidden/>
    <w:rsid w:val="00E05E01"/>
    <w:rPr>
      <w:rFonts w:cs="Times New Roman"/>
      <w:vertAlign w:val="superscript"/>
    </w:rPr>
  </w:style>
  <w:style w:type="character" w:styleId="Kommentarzeichen">
    <w:name w:val="annotation reference"/>
    <w:basedOn w:val="Absatz-Standardschriftart"/>
    <w:uiPriority w:val="99"/>
    <w:semiHidden/>
    <w:unhideWhenUsed/>
    <w:rsid w:val="00A96C63"/>
    <w:rPr>
      <w:sz w:val="16"/>
      <w:szCs w:val="16"/>
    </w:rPr>
  </w:style>
  <w:style w:type="paragraph" w:styleId="Kommentartext">
    <w:name w:val="annotation text"/>
    <w:basedOn w:val="Standard"/>
    <w:link w:val="KommentartextZchn"/>
    <w:uiPriority w:val="99"/>
    <w:unhideWhenUsed/>
    <w:rsid w:val="00A96C63"/>
    <w:rPr>
      <w:sz w:val="20"/>
      <w:szCs w:val="20"/>
    </w:rPr>
  </w:style>
  <w:style w:type="character" w:customStyle="1" w:styleId="KommentartextZchn">
    <w:name w:val="Kommentartext Zchn"/>
    <w:basedOn w:val="Absatz-Standardschriftart"/>
    <w:link w:val="Kommentartext"/>
    <w:uiPriority w:val="99"/>
    <w:rsid w:val="00A96C63"/>
    <w:rPr>
      <w:rFonts w:ascii="Arial" w:hAnsi="Arial" w:cs="Arial"/>
      <w:sz w:val="20"/>
      <w:szCs w:val="20"/>
      <w:lang w:val="de-DE" w:eastAsia="de-DE"/>
    </w:rPr>
  </w:style>
  <w:style w:type="paragraph" w:styleId="Kommentarthema">
    <w:name w:val="annotation subject"/>
    <w:basedOn w:val="Kommentartext"/>
    <w:next w:val="Kommentartext"/>
    <w:link w:val="KommentarthemaZchn"/>
    <w:uiPriority w:val="99"/>
    <w:semiHidden/>
    <w:unhideWhenUsed/>
    <w:rsid w:val="00A96C63"/>
    <w:rPr>
      <w:b/>
      <w:bCs/>
    </w:rPr>
  </w:style>
  <w:style w:type="character" w:customStyle="1" w:styleId="KommentarthemaZchn">
    <w:name w:val="Kommentarthema Zchn"/>
    <w:basedOn w:val="KommentartextZchn"/>
    <w:link w:val="Kommentarthema"/>
    <w:uiPriority w:val="99"/>
    <w:semiHidden/>
    <w:rsid w:val="00A96C63"/>
    <w:rPr>
      <w:rFonts w:ascii="Arial" w:hAnsi="Arial" w:cs="Arial"/>
      <w:b/>
      <w:bCs/>
      <w:sz w:val="20"/>
      <w:szCs w:val="20"/>
      <w:lang w:val="de-DE" w:eastAsia="de-DE"/>
    </w:rPr>
  </w:style>
  <w:style w:type="paragraph" w:styleId="berarbeitung">
    <w:name w:val="Revision"/>
    <w:hidden/>
    <w:uiPriority w:val="99"/>
    <w:semiHidden/>
    <w:rsid w:val="004B07BF"/>
    <w:rPr>
      <w:rFonts w:ascii="Arial" w:hAnsi="Arial" w:cs="Arial"/>
      <w:lang w:val="de-DE" w:eastAsia="de-DE"/>
    </w:rPr>
  </w:style>
  <w:style w:type="paragraph" w:customStyle="1" w:styleId="Default">
    <w:name w:val="Default"/>
    <w:rsid w:val="009B16E8"/>
    <w:pPr>
      <w:autoSpaceDE w:val="0"/>
      <w:autoSpaceDN w:val="0"/>
      <w:adjustRightInd w:val="0"/>
    </w:pPr>
    <w:rPr>
      <w:rFonts w:ascii="Arial" w:hAnsi="Arial" w:cs="Arial"/>
      <w:color w:val="000000"/>
      <w:sz w:val="24"/>
      <w:szCs w:val="24"/>
      <w:lang w:val="de-AT"/>
    </w:rPr>
  </w:style>
  <w:style w:type="paragraph" w:styleId="KeinLeerraum">
    <w:name w:val="No Spacing"/>
    <w:uiPriority w:val="1"/>
    <w:qFormat/>
    <w:rsid w:val="00007DA7"/>
    <w:rPr>
      <w:sz w:val="24"/>
      <w:szCs w:val="24"/>
      <w:lang w:val="de-DE" w:eastAsia="de-DE"/>
    </w:rPr>
  </w:style>
  <w:style w:type="character" w:customStyle="1" w:styleId="l">
    <w:name w:val="l"/>
    <w:basedOn w:val="Absatz-Standardschriftart"/>
    <w:rsid w:val="00864615"/>
  </w:style>
  <w:style w:type="character" w:customStyle="1" w:styleId="bold">
    <w:name w:val="bold"/>
    <w:basedOn w:val="Absatz-Standardschriftart"/>
    <w:rsid w:val="00864615"/>
  </w:style>
  <w:style w:type="character" w:customStyle="1" w:styleId="s">
    <w:name w:val="s"/>
    <w:basedOn w:val="Absatz-Standardschriftart"/>
    <w:rsid w:val="00864615"/>
  </w:style>
  <w:style w:type="character" w:customStyle="1" w:styleId="NichtaufgelsteErwhnung1">
    <w:name w:val="Nicht aufgelöste Erwähnung1"/>
    <w:basedOn w:val="Absatz-Standardschriftart"/>
    <w:uiPriority w:val="99"/>
    <w:semiHidden/>
    <w:unhideWhenUsed/>
    <w:rsid w:val="006850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6243">
      <w:bodyDiv w:val="1"/>
      <w:marLeft w:val="0"/>
      <w:marRight w:val="0"/>
      <w:marTop w:val="0"/>
      <w:marBottom w:val="0"/>
      <w:divBdr>
        <w:top w:val="none" w:sz="0" w:space="0" w:color="auto"/>
        <w:left w:val="none" w:sz="0" w:space="0" w:color="auto"/>
        <w:bottom w:val="none" w:sz="0" w:space="0" w:color="auto"/>
        <w:right w:val="none" w:sz="0" w:space="0" w:color="auto"/>
      </w:divBdr>
      <w:divsChild>
        <w:div w:id="1156730078">
          <w:marLeft w:val="547"/>
          <w:marRight w:val="0"/>
          <w:marTop w:val="0"/>
          <w:marBottom w:val="0"/>
          <w:divBdr>
            <w:top w:val="none" w:sz="0" w:space="0" w:color="auto"/>
            <w:left w:val="none" w:sz="0" w:space="0" w:color="auto"/>
            <w:bottom w:val="none" w:sz="0" w:space="0" w:color="auto"/>
            <w:right w:val="none" w:sz="0" w:space="0" w:color="auto"/>
          </w:divBdr>
        </w:div>
      </w:divsChild>
    </w:div>
    <w:div w:id="323973666">
      <w:bodyDiv w:val="1"/>
      <w:marLeft w:val="0"/>
      <w:marRight w:val="0"/>
      <w:marTop w:val="0"/>
      <w:marBottom w:val="0"/>
      <w:divBdr>
        <w:top w:val="none" w:sz="0" w:space="0" w:color="auto"/>
        <w:left w:val="none" w:sz="0" w:space="0" w:color="auto"/>
        <w:bottom w:val="none" w:sz="0" w:space="0" w:color="auto"/>
        <w:right w:val="none" w:sz="0" w:space="0" w:color="auto"/>
      </w:divBdr>
      <w:divsChild>
        <w:div w:id="500969766">
          <w:marLeft w:val="0"/>
          <w:marRight w:val="0"/>
          <w:marTop w:val="0"/>
          <w:marBottom w:val="0"/>
          <w:divBdr>
            <w:top w:val="none" w:sz="0" w:space="0" w:color="auto"/>
            <w:left w:val="none" w:sz="0" w:space="0" w:color="auto"/>
            <w:bottom w:val="none" w:sz="0" w:space="0" w:color="auto"/>
            <w:right w:val="none" w:sz="0" w:space="0" w:color="auto"/>
          </w:divBdr>
          <w:divsChild>
            <w:div w:id="246234284">
              <w:marLeft w:val="0"/>
              <w:marRight w:val="0"/>
              <w:marTop w:val="0"/>
              <w:marBottom w:val="0"/>
              <w:divBdr>
                <w:top w:val="none" w:sz="0" w:space="0" w:color="auto"/>
                <w:left w:val="none" w:sz="0" w:space="0" w:color="auto"/>
                <w:bottom w:val="none" w:sz="0" w:space="0" w:color="auto"/>
                <w:right w:val="none" w:sz="0" w:space="0" w:color="auto"/>
              </w:divBdr>
              <w:divsChild>
                <w:div w:id="19044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3403">
      <w:bodyDiv w:val="1"/>
      <w:marLeft w:val="0"/>
      <w:marRight w:val="0"/>
      <w:marTop w:val="0"/>
      <w:marBottom w:val="0"/>
      <w:divBdr>
        <w:top w:val="none" w:sz="0" w:space="0" w:color="auto"/>
        <w:left w:val="none" w:sz="0" w:space="0" w:color="auto"/>
        <w:bottom w:val="none" w:sz="0" w:space="0" w:color="auto"/>
        <w:right w:val="none" w:sz="0" w:space="0" w:color="auto"/>
      </w:divBdr>
      <w:divsChild>
        <w:div w:id="1623341755">
          <w:marLeft w:val="547"/>
          <w:marRight w:val="0"/>
          <w:marTop w:val="0"/>
          <w:marBottom w:val="0"/>
          <w:divBdr>
            <w:top w:val="none" w:sz="0" w:space="0" w:color="auto"/>
            <w:left w:val="none" w:sz="0" w:space="0" w:color="auto"/>
            <w:bottom w:val="none" w:sz="0" w:space="0" w:color="auto"/>
            <w:right w:val="none" w:sz="0" w:space="0" w:color="auto"/>
          </w:divBdr>
        </w:div>
      </w:divsChild>
    </w:div>
    <w:div w:id="734746350">
      <w:marLeft w:val="0"/>
      <w:marRight w:val="0"/>
      <w:marTop w:val="0"/>
      <w:marBottom w:val="0"/>
      <w:divBdr>
        <w:top w:val="none" w:sz="0" w:space="0" w:color="auto"/>
        <w:left w:val="none" w:sz="0" w:space="0" w:color="auto"/>
        <w:bottom w:val="none" w:sz="0" w:space="0" w:color="auto"/>
        <w:right w:val="none" w:sz="0" w:space="0" w:color="auto"/>
      </w:divBdr>
    </w:div>
    <w:div w:id="734746351">
      <w:marLeft w:val="0"/>
      <w:marRight w:val="0"/>
      <w:marTop w:val="0"/>
      <w:marBottom w:val="0"/>
      <w:divBdr>
        <w:top w:val="none" w:sz="0" w:space="0" w:color="auto"/>
        <w:left w:val="none" w:sz="0" w:space="0" w:color="auto"/>
        <w:bottom w:val="none" w:sz="0" w:space="0" w:color="auto"/>
        <w:right w:val="none" w:sz="0" w:space="0" w:color="auto"/>
      </w:divBdr>
    </w:div>
    <w:div w:id="1466463515">
      <w:bodyDiv w:val="1"/>
      <w:marLeft w:val="0"/>
      <w:marRight w:val="0"/>
      <w:marTop w:val="0"/>
      <w:marBottom w:val="0"/>
      <w:divBdr>
        <w:top w:val="none" w:sz="0" w:space="0" w:color="auto"/>
        <w:left w:val="none" w:sz="0" w:space="0" w:color="auto"/>
        <w:bottom w:val="none" w:sz="0" w:space="0" w:color="auto"/>
        <w:right w:val="none" w:sz="0" w:space="0" w:color="auto"/>
      </w:divBdr>
    </w:div>
    <w:div w:id="1835414095">
      <w:bodyDiv w:val="1"/>
      <w:marLeft w:val="0"/>
      <w:marRight w:val="0"/>
      <w:marTop w:val="0"/>
      <w:marBottom w:val="0"/>
      <w:divBdr>
        <w:top w:val="none" w:sz="0" w:space="0" w:color="auto"/>
        <w:left w:val="none" w:sz="0" w:space="0" w:color="auto"/>
        <w:bottom w:val="none" w:sz="0" w:space="0" w:color="auto"/>
        <w:right w:val="none" w:sz="0" w:space="0" w:color="auto"/>
      </w:divBdr>
    </w:div>
    <w:div w:id="1952931881">
      <w:bodyDiv w:val="1"/>
      <w:marLeft w:val="0"/>
      <w:marRight w:val="0"/>
      <w:marTop w:val="0"/>
      <w:marBottom w:val="0"/>
      <w:divBdr>
        <w:top w:val="none" w:sz="0" w:space="0" w:color="auto"/>
        <w:left w:val="none" w:sz="0" w:space="0" w:color="auto"/>
        <w:bottom w:val="none" w:sz="0" w:space="0" w:color="auto"/>
        <w:right w:val="none" w:sz="0" w:space="0" w:color="auto"/>
      </w:divBdr>
      <w:divsChild>
        <w:div w:id="41644327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C5FF-6D63-4F4B-969D-27CA3334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1789</Words>
  <Characters>13502</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Curriculum für den Universitätskurs</vt:lpstr>
    </vt:vector>
  </TitlesOfParts>
  <Company>ZID TU Graz</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für den Universitätskurs</dc:title>
  <dc:creator>stoeckler-penz christine</dc:creator>
  <cp:lastModifiedBy>Edelsbrunner, Lucia</cp:lastModifiedBy>
  <cp:revision>68</cp:revision>
  <cp:lastPrinted>2014-01-03T10:12:00Z</cp:lastPrinted>
  <dcterms:created xsi:type="dcterms:W3CDTF">2023-08-18T10:06:00Z</dcterms:created>
  <dcterms:modified xsi:type="dcterms:W3CDTF">2024-04-08T11:49:00Z</dcterms:modified>
</cp:coreProperties>
</file>