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B19" w:rsidRPr="00B13AC2" w:rsidRDefault="00226972" w:rsidP="00510B19">
      <w:pPr>
        <w:autoSpaceDE w:val="0"/>
        <w:autoSpaceDN w:val="0"/>
        <w:adjustRightInd w:val="0"/>
        <w:jc w:val="center"/>
        <w:rPr>
          <w:rFonts w:ascii="Arial" w:hAnsi="Arial" w:cs="Arial"/>
          <w:sz w:val="30"/>
          <w:szCs w:val="30"/>
          <w:lang w:eastAsia="de-AT"/>
        </w:rPr>
      </w:pPr>
      <w:r w:rsidRPr="00226972">
        <w:rPr>
          <w:rFonts w:ascii="Arial" w:hAnsi="Arial" w:cs="Arial"/>
          <w:b/>
          <w:bCs/>
          <w:color w:val="FF0000"/>
          <w:sz w:val="30"/>
          <w:szCs w:val="30"/>
        </w:rPr>
        <w:t xml:space="preserve">[Arial 15, bold] </w:t>
      </w:r>
      <w:r w:rsidR="006F7CCC">
        <w:rPr>
          <w:rFonts w:ascii="Arial" w:hAnsi="Arial" w:cs="Arial"/>
          <w:b/>
          <w:bCs/>
          <w:color w:val="000000" w:themeColor="text1"/>
          <w:sz w:val="30"/>
          <w:szCs w:val="30"/>
        </w:rPr>
        <w:t>C</w:t>
      </w:r>
      <w:r w:rsidR="006F7CCC" w:rsidRPr="006F7CCC">
        <w:rPr>
          <w:rFonts w:ascii="Arial" w:hAnsi="Arial" w:cs="Arial"/>
          <w:b/>
          <w:bCs/>
          <w:color w:val="000000" w:themeColor="text1"/>
          <w:sz w:val="30"/>
          <w:szCs w:val="30"/>
        </w:rPr>
        <w:t xml:space="preserve">opolymerization of </w:t>
      </w:r>
      <w:proofErr w:type="spellStart"/>
      <w:r w:rsidR="006F7CCC" w:rsidRPr="006F7CCC">
        <w:rPr>
          <w:rFonts w:ascii="Arial" w:hAnsi="Arial" w:cs="Arial"/>
          <w:b/>
          <w:bCs/>
          <w:color w:val="000000" w:themeColor="text1"/>
          <w:sz w:val="30"/>
          <w:szCs w:val="30"/>
        </w:rPr>
        <w:t>diacrylates</w:t>
      </w:r>
      <w:proofErr w:type="spellEnd"/>
      <w:r w:rsidR="006F7CCC" w:rsidRPr="006F7CCC">
        <w:rPr>
          <w:rFonts w:ascii="Arial" w:hAnsi="Arial" w:cs="Arial"/>
          <w:b/>
          <w:bCs/>
          <w:color w:val="000000" w:themeColor="text1"/>
          <w:sz w:val="30"/>
          <w:szCs w:val="30"/>
        </w:rPr>
        <w:t xml:space="preserve"> and diols </w:t>
      </w:r>
      <w:r w:rsidR="006F7CCC">
        <w:rPr>
          <w:rFonts w:ascii="Arial" w:hAnsi="Arial" w:cs="Arial"/>
          <w:b/>
          <w:bCs/>
          <w:color w:val="000000" w:themeColor="text1"/>
          <w:sz w:val="30"/>
          <w:szCs w:val="30"/>
        </w:rPr>
        <w:t xml:space="preserve">via </w:t>
      </w:r>
      <w:r w:rsidR="006F7CCC" w:rsidRPr="006F7CCC">
        <w:rPr>
          <w:rFonts w:ascii="Arial" w:hAnsi="Arial" w:cs="Arial"/>
          <w:b/>
          <w:bCs/>
          <w:color w:val="000000" w:themeColor="text1"/>
          <w:sz w:val="30"/>
          <w:szCs w:val="30"/>
        </w:rPr>
        <w:t>oxa-Mic</w:t>
      </w:r>
      <w:r w:rsidR="006F7CCC">
        <w:rPr>
          <w:rFonts w:ascii="Arial" w:hAnsi="Arial" w:cs="Arial"/>
          <w:b/>
          <w:bCs/>
          <w:color w:val="000000" w:themeColor="text1"/>
          <w:sz w:val="30"/>
          <w:szCs w:val="30"/>
        </w:rPr>
        <w:t>hael and anionic polymerization</w:t>
      </w:r>
    </w:p>
    <w:p w:rsidR="00510B19" w:rsidRPr="001F08EF" w:rsidRDefault="00510B19" w:rsidP="00510B19">
      <w:pPr>
        <w:jc w:val="center"/>
        <w:rPr>
          <w:rFonts w:ascii="Arial" w:hAnsi="Arial" w:cs="Arial"/>
          <w:color w:val="000000"/>
        </w:rPr>
      </w:pPr>
    </w:p>
    <w:p w:rsidR="00510B19" w:rsidRPr="00E0249B" w:rsidRDefault="00226972" w:rsidP="00510B19">
      <w:pPr>
        <w:jc w:val="center"/>
        <w:rPr>
          <w:rFonts w:ascii="Arial" w:hAnsi="Arial" w:cs="Arial"/>
          <w:color w:val="000000"/>
          <w:szCs w:val="24"/>
          <w:lang w:val="en-US"/>
        </w:rPr>
      </w:pPr>
      <w:r w:rsidRPr="00226972">
        <w:rPr>
          <w:rFonts w:ascii="Arial" w:eastAsia="Times New Roman" w:hAnsi="Arial" w:cs="Arial"/>
          <w:color w:val="FF0000"/>
          <w:szCs w:val="24"/>
          <w:lang w:eastAsia="de-DE"/>
        </w:rPr>
        <w:t xml:space="preserve">[Arial </w:t>
      </w:r>
      <w:proofErr w:type="gramStart"/>
      <w:r w:rsidRPr="00226972">
        <w:rPr>
          <w:rFonts w:ascii="Arial" w:eastAsia="Times New Roman" w:hAnsi="Arial" w:cs="Arial"/>
          <w:color w:val="FF0000"/>
          <w:szCs w:val="24"/>
          <w:lang w:eastAsia="de-DE"/>
        </w:rPr>
        <w:t>12,</w:t>
      </w:r>
      <w:proofErr w:type="gramEnd"/>
      <w:r w:rsidRPr="00226972">
        <w:rPr>
          <w:rFonts w:ascii="Arial" w:eastAsia="Times New Roman" w:hAnsi="Arial" w:cs="Arial"/>
          <w:color w:val="FF0000"/>
          <w:szCs w:val="24"/>
          <w:lang w:eastAsia="de-DE"/>
        </w:rPr>
        <w:t xml:space="preserve"> underline the presenting author] </w:t>
      </w:r>
      <w:r w:rsidR="006F7CCC" w:rsidRPr="006F7CCC">
        <w:rPr>
          <w:rFonts w:ascii="Arial" w:eastAsia="Times New Roman" w:hAnsi="Arial" w:cs="Arial"/>
          <w:color w:val="000000" w:themeColor="text1"/>
          <w:szCs w:val="24"/>
          <w:u w:val="single"/>
          <w:lang w:val="es-US" w:eastAsia="de-DE"/>
        </w:rPr>
        <w:t>Susanne M. Fischer</w:t>
      </w:r>
      <w:r w:rsidR="00A20E33" w:rsidRPr="00F40806">
        <w:rPr>
          <w:rFonts w:ascii="Arial" w:eastAsia="Times New Roman" w:hAnsi="Arial" w:cs="Arial"/>
          <w:color w:val="000000" w:themeColor="text1"/>
          <w:szCs w:val="24"/>
          <w:lang w:val="es-US" w:eastAsia="de-DE"/>
        </w:rPr>
        <w:t>,</w:t>
      </w:r>
      <w:r w:rsidR="00A20E33" w:rsidRPr="00F40806">
        <w:rPr>
          <w:rFonts w:ascii="Arial" w:eastAsia="Times New Roman" w:hAnsi="Arial" w:cs="Arial"/>
          <w:color w:val="000000" w:themeColor="text1"/>
          <w:szCs w:val="24"/>
          <w:vertAlign w:val="superscript"/>
          <w:lang w:val="es-US" w:eastAsia="de-DE"/>
        </w:rPr>
        <w:t>a</w:t>
      </w:r>
      <w:r w:rsidR="006F7CCC">
        <w:rPr>
          <w:rFonts w:ascii="Arial" w:eastAsia="Times New Roman" w:hAnsi="Arial" w:cs="Arial"/>
          <w:color w:val="000000" w:themeColor="text1"/>
          <w:szCs w:val="24"/>
          <w:vertAlign w:val="superscript"/>
          <w:lang w:val="es-US" w:eastAsia="de-DE"/>
        </w:rPr>
        <w:t>,b</w:t>
      </w:r>
      <w:r w:rsidR="00A20E33" w:rsidRPr="00F40806">
        <w:rPr>
          <w:rFonts w:ascii="Arial" w:eastAsia="Times New Roman" w:hAnsi="Arial" w:cs="Arial"/>
          <w:color w:val="000000" w:themeColor="text1"/>
          <w:szCs w:val="24"/>
          <w:lang w:val="es-US" w:eastAsia="de-DE"/>
        </w:rPr>
        <w:t xml:space="preserve"> </w:t>
      </w:r>
      <w:r w:rsidR="00A20E33" w:rsidRPr="00A20E33">
        <w:rPr>
          <w:rFonts w:ascii="Arial" w:eastAsia="Times New Roman" w:hAnsi="Arial" w:cs="Arial"/>
          <w:color w:val="000000" w:themeColor="text1"/>
          <w:szCs w:val="24"/>
          <w:lang w:val="es-US" w:eastAsia="de-DE"/>
        </w:rPr>
        <w:t>Christian Slugovc</w:t>
      </w:r>
      <w:r w:rsidR="00A20E33" w:rsidRPr="00F40806">
        <w:rPr>
          <w:rFonts w:ascii="Arial" w:eastAsia="Times New Roman" w:hAnsi="Arial" w:cs="Arial"/>
          <w:color w:val="000000" w:themeColor="text1"/>
          <w:szCs w:val="24"/>
          <w:vertAlign w:val="superscript"/>
          <w:lang w:val="es-US" w:eastAsia="de-DE"/>
        </w:rPr>
        <w:t>a,</w:t>
      </w:r>
      <w:r w:rsidR="00A20E33" w:rsidRPr="00F40806">
        <w:rPr>
          <w:rFonts w:ascii="Arial" w:eastAsia="Times New Roman" w:hAnsi="Arial" w:cs="Arial"/>
          <w:color w:val="000000" w:themeColor="text1"/>
          <w:szCs w:val="24"/>
          <w:lang w:val="es-US" w:eastAsia="de-DE"/>
        </w:rPr>
        <w:t>*</w:t>
      </w:r>
      <w:r w:rsidR="00510B19" w:rsidRPr="00E0249B">
        <w:rPr>
          <w:rFonts w:ascii="Arial" w:hAnsi="Arial" w:cs="Arial"/>
          <w:color w:val="000000"/>
          <w:vertAlign w:val="superscript"/>
          <w:lang w:val="en-US"/>
        </w:rPr>
        <w:br/>
      </w:r>
    </w:p>
    <w:p w:rsidR="00A20E33" w:rsidRPr="00634BCC" w:rsidRDefault="00226972" w:rsidP="00A20E33">
      <w:pPr>
        <w:jc w:val="center"/>
        <w:rPr>
          <w:rFonts w:ascii="Arial" w:hAnsi="Arial" w:cs="Arial"/>
          <w:i/>
          <w:iCs/>
          <w:lang w:val="en-US"/>
        </w:rPr>
      </w:pPr>
      <w:r w:rsidRPr="00226972">
        <w:rPr>
          <w:rFonts w:ascii="Arial" w:hAnsi="Arial" w:cs="Arial"/>
          <w:i/>
          <w:iCs/>
          <w:color w:val="FF0000"/>
          <w:lang w:val="en-US"/>
        </w:rPr>
        <w:t>[Ari</w:t>
      </w:r>
      <w:r w:rsidR="00A20E33">
        <w:rPr>
          <w:rFonts w:ascii="Arial" w:hAnsi="Arial" w:cs="Arial"/>
          <w:i/>
          <w:iCs/>
          <w:color w:val="FF0000"/>
          <w:lang w:val="en-US"/>
        </w:rPr>
        <w:t>al</w:t>
      </w:r>
      <w:r w:rsidRPr="00226972">
        <w:rPr>
          <w:rFonts w:ascii="Arial" w:hAnsi="Arial" w:cs="Arial"/>
          <w:i/>
          <w:iCs/>
          <w:color w:val="FF0000"/>
          <w:lang w:val="en-US"/>
        </w:rPr>
        <w:t xml:space="preserve"> 12, </w:t>
      </w:r>
      <w:proofErr w:type="spellStart"/>
      <w:r w:rsidRPr="00226972">
        <w:rPr>
          <w:rFonts w:ascii="Arial" w:hAnsi="Arial" w:cs="Arial"/>
          <w:i/>
          <w:iCs/>
          <w:color w:val="FF0000"/>
          <w:lang w:val="en-US"/>
        </w:rPr>
        <w:t>iltalics</w:t>
      </w:r>
      <w:proofErr w:type="spellEnd"/>
      <w:r w:rsidRPr="00226972">
        <w:rPr>
          <w:rFonts w:ascii="Arial" w:hAnsi="Arial" w:cs="Arial"/>
          <w:i/>
          <w:iCs/>
          <w:color w:val="FF0000"/>
          <w:lang w:val="en-US"/>
        </w:rPr>
        <w:t xml:space="preserve">] </w:t>
      </w:r>
      <w:r w:rsidR="00A20E33" w:rsidRPr="00226972">
        <w:rPr>
          <w:rFonts w:ascii="Arial" w:hAnsi="Arial" w:cs="Arial"/>
          <w:i/>
          <w:iCs/>
          <w:vertAlign w:val="superscript"/>
          <w:lang w:val="en-US"/>
        </w:rPr>
        <w:t>a</w:t>
      </w:r>
      <w:r w:rsidR="00A20E33">
        <w:rPr>
          <w:rFonts w:ascii="Arial" w:hAnsi="Arial" w:cs="Arial"/>
          <w:i/>
          <w:iCs/>
          <w:lang w:val="en-US"/>
        </w:rPr>
        <w:t xml:space="preserve"> </w:t>
      </w:r>
      <w:r w:rsidR="006F7CCC" w:rsidRPr="006F7CCC">
        <w:rPr>
          <w:rFonts w:ascii="Arial" w:hAnsi="Arial" w:cs="Arial"/>
          <w:i/>
          <w:iCs/>
          <w:lang w:val="en-US"/>
        </w:rPr>
        <w:t xml:space="preserve">Christian Doppler Laboratory for </w:t>
      </w:r>
      <w:proofErr w:type="spellStart"/>
      <w:r w:rsidR="006F7CCC" w:rsidRPr="006F7CCC">
        <w:rPr>
          <w:rFonts w:ascii="Arial" w:hAnsi="Arial" w:cs="Arial"/>
          <w:i/>
          <w:iCs/>
          <w:lang w:val="en-US"/>
        </w:rPr>
        <w:t>Organocatalysis</w:t>
      </w:r>
      <w:proofErr w:type="spellEnd"/>
      <w:r w:rsidR="006F7CCC" w:rsidRPr="006F7CCC">
        <w:rPr>
          <w:rFonts w:ascii="Arial" w:hAnsi="Arial" w:cs="Arial"/>
          <w:i/>
          <w:iCs/>
          <w:lang w:val="en-US"/>
        </w:rPr>
        <w:t xml:space="preserve"> in Polymerization</w:t>
      </w:r>
      <w:r w:rsidR="00A20E33" w:rsidRPr="00F40806">
        <w:rPr>
          <w:rFonts w:ascii="Arial" w:hAnsi="Arial" w:cs="Arial"/>
          <w:i/>
          <w:iCs/>
        </w:rPr>
        <w:t>, Graz University of Technology, Stremayrgasse 9, A 8010 Graz, Austria</w:t>
      </w:r>
      <w:r w:rsidR="00A20E33">
        <w:rPr>
          <w:rFonts w:ascii="Arial" w:hAnsi="Arial" w:cs="Arial"/>
          <w:i/>
          <w:iCs/>
        </w:rPr>
        <w:t>;</w:t>
      </w:r>
      <w:r w:rsidR="00A20E33" w:rsidRPr="00E0249B">
        <w:rPr>
          <w:rFonts w:ascii="Arial" w:hAnsi="Arial" w:cs="Arial"/>
          <w:i/>
          <w:iCs/>
          <w:lang w:val="en-US"/>
        </w:rPr>
        <w:t xml:space="preserve"> e-mail: </w:t>
      </w:r>
      <w:r w:rsidR="00A20E33">
        <w:rPr>
          <w:rFonts w:ascii="Arial" w:hAnsi="Arial" w:cs="Arial"/>
          <w:i/>
          <w:iCs/>
          <w:lang w:val="en-US"/>
        </w:rPr>
        <w:t>slugovc</w:t>
      </w:r>
      <w:r w:rsidR="00A20E33" w:rsidRPr="009A2F6D">
        <w:rPr>
          <w:rFonts w:ascii="Arial" w:hAnsi="Arial" w:cs="Arial"/>
          <w:i/>
          <w:iCs/>
          <w:lang w:val="en-US"/>
        </w:rPr>
        <w:t>@tugraz.at</w:t>
      </w:r>
    </w:p>
    <w:p w:rsidR="006F7CCC" w:rsidRPr="006F7CCC" w:rsidRDefault="00A20E33" w:rsidP="006F7CCC">
      <w:pPr>
        <w:jc w:val="center"/>
        <w:rPr>
          <w:rFonts w:ascii="Arial" w:hAnsi="Arial" w:cs="Arial"/>
          <w:i/>
          <w:iCs/>
        </w:rPr>
      </w:pPr>
      <w:proofErr w:type="gramStart"/>
      <w:r w:rsidRPr="00E0249B">
        <w:rPr>
          <w:rFonts w:ascii="Arial" w:hAnsi="Arial" w:cs="Arial"/>
          <w:i/>
          <w:iCs/>
          <w:vertAlign w:val="superscript"/>
        </w:rPr>
        <w:t>b</w:t>
      </w:r>
      <w:proofErr w:type="gramEnd"/>
      <w:r>
        <w:rPr>
          <w:rFonts w:ascii="Arial" w:hAnsi="Arial" w:cs="Arial"/>
          <w:i/>
          <w:iCs/>
        </w:rPr>
        <w:t xml:space="preserve"> </w:t>
      </w:r>
      <w:r w:rsidR="006F7CCC">
        <w:rPr>
          <w:rFonts w:ascii="Arial" w:hAnsi="Arial" w:cs="Arial"/>
          <w:i/>
          <w:iCs/>
        </w:rPr>
        <w:t xml:space="preserve">current address: </w:t>
      </w:r>
      <w:r w:rsidR="006F7CCC" w:rsidRPr="006F7CCC">
        <w:rPr>
          <w:rFonts w:ascii="Arial" w:hAnsi="Arial" w:cs="Arial"/>
          <w:i/>
          <w:iCs/>
        </w:rPr>
        <w:t>Department of Organic and Macromolecular Chemistry</w:t>
      </w:r>
      <w:r w:rsidR="006F7CCC">
        <w:rPr>
          <w:rFonts w:ascii="Arial" w:hAnsi="Arial" w:cs="Arial"/>
          <w:i/>
          <w:iCs/>
        </w:rPr>
        <w:t xml:space="preserve">, </w:t>
      </w:r>
      <w:r w:rsidR="006F7CCC" w:rsidRPr="006F7CCC">
        <w:rPr>
          <w:rFonts w:ascii="Arial" w:hAnsi="Arial" w:cs="Arial"/>
          <w:i/>
          <w:iCs/>
        </w:rPr>
        <w:t>Polymer Chemistry Research Group</w:t>
      </w:r>
      <w:r w:rsidR="006F7CCC">
        <w:rPr>
          <w:rFonts w:ascii="Arial" w:hAnsi="Arial" w:cs="Arial"/>
          <w:i/>
          <w:iCs/>
        </w:rPr>
        <w:t xml:space="preserve">, Ghent University, </w:t>
      </w:r>
      <w:proofErr w:type="spellStart"/>
      <w:r w:rsidR="006F7CCC" w:rsidRPr="006F7CCC">
        <w:rPr>
          <w:rFonts w:ascii="Arial" w:hAnsi="Arial" w:cs="Arial"/>
          <w:i/>
          <w:iCs/>
        </w:rPr>
        <w:t>Krijgsl</w:t>
      </w:r>
      <w:r w:rsidR="006F7CCC">
        <w:rPr>
          <w:rFonts w:ascii="Arial" w:hAnsi="Arial" w:cs="Arial"/>
          <w:i/>
          <w:iCs/>
        </w:rPr>
        <w:t>aan</w:t>
      </w:r>
      <w:proofErr w:type="spellEnd"/>
      <w:r w:rsidR="006F7CCC">
        <w:rPr>
          <w:rFonts w:ascii="Arial" w:hAnsi="Arial" w:cs="Arial"/>
          <w:i/>
          <w:iCs/>
        </w:rPr>
        <w:t xml:space="preserve"> 281 S4-bis, B </w:t>
      </w:r>
      <w:r w:rsidR="006F7CCC" w:rsidRPr="006F7CCC">
        <w:rPr>
          <w:rFonts w:ascii="Arial" w:hAnsi="Arial" w:cs="Arial"/>
          <w:i/>
          <w:iCs/>
        </w:rPr>
        <w:t>9000 G</w:t>
      </w:r>
      <w:r w:rsidR="006F7CCC">
        <w:rPr>
          <w:rFonts w:ascii="Arial" w:hAnsi="Arial" w:cs="Arial"/>
          <w:i/>
          <w:iCs/>
        </w:rPr>
        <w:t>hent</w:t>
      </w:r>
    </w:p>
    <w:p w:rsidR="00510B19" w:rsidRPr="00E0249B" w:rsidRDefault="006F7CCC" w:rsidP="006F7CCC">
      <w:pPr>
        <w:jc w:val="center"/>
        <w:rPr>
          <w:rFonts w:ascii="Arial" w:hAnsi="Arial" w:cs="Arial"/>
          <w:i/>
          <w:iCs/>
          <w:lang w:val="en-US"/>
        </w:rPr>
      </w:pPr>
      <w:r w:rsidRPr="006F7CCC">
        <w:rPr>
          <w:rFonts w:ascii="Arial" w:hAnsi="Arial" w:cs="Arial"/>
          <w:i/>
          <w:iCs/>
        </w:rPr>
        <w:t>Belgium</w:t>
      </w:r>
    </w:p>
    <w:p w:rsidR="00510B19" w:rsidRDefault="00510B19" w:rsidP="00510B19">
      <w:pPr>
        <w:rPr>
          <w:rFonts w:ascii="Times New Roman" w:hAnsi="Times New Roman"/>
          <w:color w:val="000000"/>
          <w:szCs w:val="24"/>
          <w:lang w:val="en-US"/>
        </w:rPr>
      </w:pPr>
    </w:p>
    <w:p w:rsidR="00A20E33" w:rsidRPr="006F7CCC" w:rsidRDefault="00226972" w:rsidP="00A20E33">
      <w:pPr>
        <w:pStyle w:val="EndNoteBibliography"/>
        <w:jc w:val="both"/>
        <w:rPr>
          <w:rFonts w:ascii="Times New Roman" w:hAnsi="Times New Roman"/>
          <w:color w:val="000000" w:themeColor="text1"/>
          <w:sz w:val="26"/>
          <w:szCs w:val="26"/>
        </w:rPr>
      </w:pPr>
      <w:r w:rsidRPr="00226972">
        <w:rPr>
          <w:rFonts w:ascii="Times New Roman" w:hAnsi="Times New Roman"/>
          <w:color w:val="FF0000"/>
          <w:sz w:val="26"/>
          <w:szCs w:val="26"/>
        </w:rPr>
        <w:t>[Times New Roman, 13]</w:t>
      </w:r>
      <w:r>
        <w:rPr>
          <w:rFonts w:ascii="Times New Roman" w:hAnsi="Times New Roman"/>
          <w:sz w:val="26"/>
          <w:szCs w:val="26"/>
        </w:rPr>
        <w:t xml:space="preserve"> </w:t>
      </w:r>
      <w:r w:rsidR="006F7CCC" w:rsidRPr="006F7CCC">
        <w:rPr>
          <w:rFonts w:ascii="Times New Roman" w:hAnsi="Times New Roman"/>
          <w:color w:val="000000" w:themeColor="text1"/>
          <w:sz w:val="26"/>
          <w:szCs w:val="26"/>
        </w:rPr>
        <w:t>Oxa-M</w:t>
      </w:r>
      <w:r w:rsidR="006F7CCC">
        <w:rPr>
          <w:rFonts w:ascii="Times New Roman" w:hAnsi="Times New Roman"/>
          <w:color w:val="000000" w:themeColor="text1"/>
          <w:sz w:val="26"/>
          <w:szCs w:val="26"/>
        </w:rPr>
        <w:t xml:space="preserve">ichael addition polymerization </w:t>
      </w:r>
      <w:r w:rsidR="006F7CCC" w:rsidRPr="006F7CCC">
        <w:rPr>
          <w:rFonts w:ascii="Times New Roman" w:hAnsi="Times New Roman"/>
          <w:color w:val="000000" w:themeColor="text1"/>
          <w:sz w:val="26"/>
          <w:szCs w:val="26"/>
        </w:rPr>
        <w:t>is a potential alternative to aza- or thia-Michael polymerization using generally less expensive, less toxic and bio-sourced alcohols.</w:t>
      </w:r>
      <w:r w:rsidR="006F7CCC" w:rsidRPr="006F7CCC">
        <w:rPr>
          <w:rFonts w:ascii="Times New Roman" w:hAnsi="Times New Roman"/>
          <w:color w:val="000000" w:themeColor="text1"/>
          <w:sz w:val="26"/>
          <w:szCs w:val="26"/>
          <w:vertAlign w:val="superscript"/>
        </w:rPr>
        <w:t>1</w:t>
      </w:r>
      <w:r w:rsidR="006F7CCC" w:rsidRPr="006F7CCC">
        <w:rPr>
          <w:rFonts w:ascii="Times New Roman" w:hAnsi="Times New Roman"/>
          <w:color w:val="000000" w:themeColor="text1"/>
          <w:sz w:val="26"/>
          <w:szCs w:val="26"/>
        </w:rPr>
        <w:t xml:space="preserve"> However, alcohols are significantly less reactive compared to their amine and thiol counterparts and require the use of tailored catalysis to react with moderately strong Michael acceptors such as acrylates. Best catalysts for the oxa-Michael polymerization of acrylates are the strong Lewis bases such as tris(2,4,6-trimethoxyphenyl)phosphine (TTMPP)</w:t>
      </w:r>
      <w:r w:rsidR="006F7CCC">
        <w:rPr>
          <w:rFonts w:ascii="Times New Roman" w:hAnsi="Times New Roman"/>
          <w:color w:val="000000" w:themeColor="text1"/>
          <w:sz w:val="26"/>
          <w:szCs w:val="26"/>
        </w:rPr>
        <w:t>,</w:t>
      </w:r>
      <w:r w:rsidR="006F7CCC" w:rsidRPr="006F7CCC">
        <w:rPr>
          <w:rFonts w:ascii="Times New Roman" w:hAnsi="Times New Roman"/>
          <w:color w:val="000000" w:themeColor="text1"/>
          <w:sz w:val="26"/>
          <w:szCs w:val="26"/>
        </w:rPr>
        <w:t xml:space="preserve"> or strong Brønsted bases like P</w:t>
      </w:r>
      <w:r w:rsidR="006F7CCC" w:rsidRPr="006F7CCC">
        <w:rPr>
          <w:rFonts w:ascii="Times New Roman" w:hAnsi="Times New Roman"/>
          <w:color w:val="000000" w:themeColor="text1"/>
          <w:sz w:val="26"/>
          <w:szCs w:val="26"/>
          <w:vertAlign w:val="subscript"/>
        </w:rPr>
        <w:t>2</w:t>
      </w:r>
      <w:r w:rsidR="006F7CCC" w:rsidRPr="006F7CCC">
        <w:rPr>
          <w:rFonts w:ascii="Times New Roman" w:hAnsi="Times New Roman"/>
          <w:color w:val="000000" w:themeColor="text1"/>
          <w:sz w:val="26"/>
          <w:szCs w:val="26"/>
        </w:rPr>
        <w:t>-</w:t>
      </w:r>
      <w:r w:rsidR="006F7CCC" w:rsidRPr="00850074">
        <w:rPr>
          <w:rFonts w:ascii="Times New Roman" w:hAnsi="Times New Roman"/>
          <w:color w:val="000000" w:themeColor="text1"/>
          <w:sz w:val="26"/>
          <w:szCs w:val="26"/>
          <w:vertAlign w:val="superscript"/>
        </w:rPr>
        <w:t>t</w:t>
      </w:r>
      <w:r w:rsidR="006F7CCC" w:rsidRPr="006F7CCC">
        <w:rPr>
          <w:rFonts w:ascii="Times New Roman" w:hAnsi="Times New Roman"/>
          <w:color w:val="000000" w:themeColor="text1"/>
          <w:sz w:val="26"/>
          <w:szCs w:val="26"/>
        </w:rPr>
        <w:t>Bu.</w:t>
      </w:r>
      <w:r w:rsidR="00316BA4" w:rsidRPr="00316BA4">
        <w:rPr>
          <w:rFonts w:ascii="Times New Roman" w:hAnsi="Times New Roman"/>
          <w:color w:val="000000" w:themeColor="text1"/>
          <w:sz w:val="26"/>
          <w:szCs w:val="26"/>
          <w:vertAlign w:val="superscript"/>
        </w:rPr>
        <w:t>2</w:t>
      </w:r>
      <w:r w:rsidR="006F7CCC" w:rsidRPr="006F7CCC">
        <w:rPr>
          <w:rFonts w:ascii="Times New Roman" w:hAnsi="Times New Roman"/>
          <w:color w:val="000000" w:themeColor="text1"/>
          <w:sz w:val="26"/>
          <w:szCs w:val="26"/>
        </w:rPr>
        <w:t xml:space="preserve"> Moreover, the reactivity of acrylates in this reaction decreases with increasing functionality further complicating the formation of polymeric networks.</w:t>
      </w:r>
    </w:p>
    <w:p w:rsidR="00A20E33" w:rsidRDefault="00316BA4" w:rsidP="00A20E33">
      <w:pPr>
        <w:pStyle w:val="EndNoteBibliography"/>
        <w:jc w:val="center"/>
        <w:rPr>
          <w:rFonts w:ascii="Times New Roman" w:hAnsi="Times New Roman"/>
          <w:color w:val="000000" w:themeColor="text1"/>
          <w:sz w:val="26"/>
          <w:szCs w:val="26"/>
        </w:rPr>
      </w:pPr>
      <w:r>
        <w:rPr>
          <w:rFonts w:ascii="Times New Roman" w:hAnsi="Times New Roman"/>
          <w:color w:val="000000" w:themeColor="text1"/>
          <w:sz w:val="26"/>
          <w:szCs w:val="26"/>
          <w:lang w:val="de-AT" w:eastAsia="de-AT"/>
        </w:rPr>
        <w:drawing>
          <wp:inline distT="0" distB="0" distL="0" distR="0">
            <wp:extent cx="4958851" cy="2582949"/>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_posterabstract2.jpg"/>
                    <pic:cNvPicPr/>
                  </pic:nvPicPr>
                  <pic:blipFill rotWithShape="1">
                    <a:blip r:embed="rId4">
                      <a:extLst>
                        <a:ext uri="{28A0092B-C50C-407E-A947-70E740481C1C}">
                          <a14:useLocalDpi xmlns:a14="http://schemas.microsoft.com/office/drawing/2010/main" val="0"/>
                        </a:ext>
                      </a:extLst>
                    </a:blip>
                    <a:srcRect t="-3743"/>
                    <a:stretch/>
                  </pic:blipFill>
                  <pic:spPr bwMode="auto">
                    <a:xfrm>
                      <a:off x="0" y="0"/>
                      <a:ext cx="5021958" cy="2615820"/>
                    </a:xfrm>
                    <a:prstGeom prst="rect">
                      <a:avLst/>
                    </a:prstGeom>
                    <a:ln>
                      <a:noFill/>
                    </a:ln>
                    <a:extLst>
                      <a:ext uri="{53640926-AAD7-44D8-BBD7-CCE9431645EC}">
                        <a14:shadowObscured xmlns:a14="http://schemas.microsoft.com/office/drawing/2010/main"/>
                      </a:ext>
                    </a:extLst>
                  </pic:spPr>
                </pic:pic>
              </a:graphicData>
            </a:graphic>
          </wp:inline>
        </w:drawing>
      </w:r>
    </w:p>
    <w:p w:rsidR="00A20E33" w:rsidRPr="003F4C65" w:rsidRDefault="00A20E33" w:rsidP="003F4C65">
      <w:pPr>
        <w:pStyle w:val="EndNoteBibliography"/>
        <w:jc w:val="center"/>
        <w:rPr>
          <w:rFonts w:ascii="Times New Roman" w:eastAsia="Times New Roman" w:hAnsi="Times New Roman" w:cs="Times New Roman"/>
          <w:i/>
          <w:noProof w:val="0"/>
          <w:szCs w:val="24"/>
          <w:lang w:val="en-US" w:eastAsia="en-US"/>
        </w:rPr>
      </w:pPr>
      <w:r w:rsidRPr="00226972">
        <w:rPr>
          <w:i/>
          <w:color w:val="FF0000"/>
          <w:szCs w:val="24"/>
        </w:rPr>
        <w:t>[Times new Roman, 12, italics]</w:t>
      </w:r>
      <w:r>
        <w:rPr>
          <w:i/>
          <w:szCs w:val="24"/>
        </w:rPr>
        <w:t xml:space="preserve"> </w:t>
      </w:r>
      <w:r w:rsidR="003F4C65">
        <w:rPr>
          <w:rFonts w:ascii="Times New Roman" w:eastAsia="Times New Roman" w:hAnsi="Times New Roman" w:cs="Times New Roman"/>
          <w:i/>
          <w:noProof w:val="0"/>
          <w:szCs w:val="24"/>
          <w:lang w:val="en-US" w:eastAsia="en-US"/>
        </w:rPr>
        <w:t xml:space="preserve">Two stage copolymerization of </w:t>
      </w:r>
      <w:proofErr w:type="spellStart"/>
      <w:r w:rsidR="003F4C65" w:rsidRPr="003F4C65">
        <w:rPr>
          <w:rFonts w:ascii="Times New Roman" w:eastAsia="Times New Roman" w:hAnsi="Times New Roman" w:cs="Times New Roman"/>
          <w:i/>
          <w:noProof w:val="0"/>
          <w:szCs w:val="24"/>
          <w:lang w:val="en-US" w:eastAsia="en-US"/>
        </w:rPr>
        <w:t>diacrylates</w:t>
      </w:r>
      <w:proofErr w:type="spellEnd"/>
      <w:r w:rsidR="003F4C65" w:rsidRPr="003F4C65">
        <w:rPr>
          <w:rFonts w:ascii="Times New Roman" w:eastAsia="Times New Roman" w:hAnsi="Times New Roman" w:cs="Times New Roman"/>
          <w:i/>
          <w:noProof w:val="0"/>
          <w:szCs w:val="24"/>
          <w:lang w:val="en-US" w:eastAsia="en-US"/>
        </w:rPr>
        <w:t xml:space="preserve"> and diols</w:t>
      </w:r>
      <w:r w:rsidR="003F4C65">
        <w:rPr>
          <w:rFonts w:ascii="Times New Roman" w:eastAsia="Times New Roman" w:hAnsi="Times New Roman" w:cs="Times New Roman"/>
          <w:i/>
          <w:noProof w:val="0"/>
          <w:szCs w:val="24"/>
          <w:lang w:val="en-US" w:eastAsia="en-US"/>
        </w:rPr>
        <w:t>.</w:t>
      </w:r>
    </w:p>
    <w:p w:rsidR="00A20E33" w:rsidRPr="003F4C65" w:rsidRDefault="00A20E33" w:rsidP="00A20E33">
      <w:pPr>
        <w:pStyle w:val="EndNoteBibliography"/>
        <w:jc w:val="both"/>
        <w:rPr>
          <w:rFonts w:ascii="Times New Roman" w:hAnsi="Times New Roman"/>
          <w:color w:val="000000" w:themeColor="text1"/>
          <w:sz w:val="20"/>
          <w:lang w:val="en-US"/>
        </w:rPr>
      </w:pPr>
    </w:p>
    <w:p w:rsidR="00A20E33" w:rsidRDefault="006F7CCC" w:rsidP="00A20E33">
      <w:pPr>
        <w:pStyle w:val="EndNoteBibliography"/>
        <w:jc w:val="both"/>
        <w:rPr>
          <w:rFonts w:ascii="Times New Roman" w:hAnsi="Times New Roman"/>
          <w:color w:val="000000" w:themeColor="text1"/>
          <w:sz w:val="26"/>
          <w:szCs w:val="26"/>
        </w:rPr>
      </w:pPr>
      <w:r w:rsidRPr="006F7CCC">
        <w:rPr>
          <w:rFonts w:ascii="Times New Roman" w:hAnsi="Times New Roman"/>
          <w:color w:val="000000" w:themeColor="text1"/>
          <w:sz w:val="26"/>
          <w:szCs w:val="26"/>
        </w:rPr>
        <w:t>Herein, we present the synthesis of polymers via the combination of oxa-Michael reactions of diacrylates and diols in stoichiometric</w:t>
      </w:r>
      <w:bookmarkStart w:id="0" w:name="_GoBack"/>
      <w:bookmarkEnd w:id="0"/>
      <w:r w:rsidRPr="006F7CCC">
        <w:rPr>
          <w:rFonts w:ascii="Times New Roman" w:hAnsi="Times New Roman"/>
          <w:color w:val="000000" w:themeColor="text1"/>
          <w:sz w:val="26"/>
          <w:szCs w:val="26"/>
        </w:rPr>
        <w:t xml:space="preserve"> deficiency followed by subsequent anionic polymerization of the remaining acrylate groups. TTMPP and P</w:t>
      </w:r>
      <w:r w:rsidRPr="00316BA4">
        <w:rPr>
          <w:rFonts w:ascii="Times New Roman" w:hAnsi="Times New Roman"/>
          <w:color w:val="000000" w:themeColor="text1"/>
          <w:sz w:val="26"/>
          <w:szCs w:val="26"/>
          <w:vertAlign w:val="subscript"/>
        </w:rPr>
        <w:t>2</w:t>
      </w:r>
      <w:r w:rsidRPr="006F7CCC">
        <w:rPr>
          <w:rFonts w:ascii="Times New Roman" w:hAnsi="Times New Roman"/>
          <w:color w:val="000000" w:themeColor="text1"/>
          <w:sz w:val="26"/>
          <w:szCs w:val="26"/>
        </w:rPr>
        <w:t>-</w:t>
      </w:r>
      <w:r w:rsidRPr="00850074">
        <w:rPr>
          <w:rFonts w:ascii="Times New Roman" w:hAnsi="Times New Roman"/>
          <w:color w:val="000000" w:themeColor="text1"/>
          <w:sz w:val="26"/>
          <w:szCs w:val="26"/>
          <w:vertAlign w:val="superscript"/>
        </w:rPr>
        <w:t>t</w:t>
      </w:r>
      <w:r w:rsidRPr="006F7CCC">
        <w:rPr>
          <w:rFonts w:ascii="Times New Roman" w:hAnsi="Times New Roman"/>
          <w:color w:val="000000" w:themeColor="text1"/>
          <w:sz w:val="26"/>
          <w:szCs w:val="26"/>
        </w:rPr>
        <w:t>Bu have been found to be efficient catalysts for both reactions and enable the preparation of co-polymers with varying properties (e.g. thermal stability, hardness, etc.) depending on, above all, the alcohol content. When stronger difunctional Michael acceptors such as divinyl sulfone are used, less active catalysts are sufficient to obtain a similar reactivity.</w:t>
      </w:r>
      <w:r w:rsidR="00316BA4" w:rsidRPr="00316BA4">
        <w:rPr>
          <w:rFonts w:ascii="Times New Roman" w:hAnsi="Times New Roman"/>
          <w:color w:val="000000" w:themeColor="text1"/>
          <w:sz w:val="26"/>
          <w:szCs w:val="26"/>
          <w:vertAlign w:val="superscript"/>
        </w:rPr>
        <w:t>3</w:t>
      </w:r>
    </w:p>
    <w:p w:rsidR="00A20E33" w:rsidRPr="00850074" w:rsidRDefault="00A20E33" w:rsidP="00A20E33">
      <w:pPr>
        <w:pStyle w:val="EndNoteBibliography"/>
        <w:jc w:val="both"/>
        <w:rPr>
          <w:rFonts w:ascii="Times New Roman" w:hAnsi="Times New Roman"/>
          <w:color w:val="000000" w:themeColor="text1"/>
          <w:sz w:val="10"/>
          <w:szCs w:val="10"/>
        </w:rPr>
      </w:pPr>
    </w:p>
    <w:p w:rsidR="00A20E33" w:rsidRPr="00197750" w:rsidRDefault="00D2220B" w:rsidP="00A20E33">
      <w:pPr>
        <w:adjustRightInd w:val="0"/>
        <w:rPr>
          <w:rFonts w:ascii="Arial" w:hAnsi="Arial" w:cs="Arial"/>
          <w:b/>
          <w:color w:val="000000"/>
          <w:sz w:val="22"/>
          <w:szCs w:val="22"/>
          <w:lang w:val="en-US"/>
        </w:rPr>
      </w:pPr>
      <w:r>
        <w:rPr>
          <w:rFonts w:ascii="Arial" w:hAnsi="Arial" w:cs="Arial"/>
          <w:color w:val="FF0000"/>
          <w:sz w:val="22"/>
          <w:szCs w:val="22"/>
        </w:rPr>
        <w:t>[Ari</w:t>
      </w:r>
      <w:r w:rsidR="00A20E33" w:rsidRPr="00226972">
        <w:rPr>
          <w:rFonts w:ascii="Arial" w:hAnsi="Arial" w:cs="Arial"/>
          <w:color w:val="FF0000"/>
          <w:sz w:val="22"/>
          <w:szCs w:val="22"/>
        </w:rPr>
        <w:t>al, 11</w:t>
      </w:r>
      <w:r w:rsidR="00A20E33">
        <w:rPr>
          <w:rFonts w:ascii="Arial" w:hAnsi="Arial" w:cs="Arial"/>
          <w:color w:val="FF0000"/>
          <w:sz w:val="22"/>
          <w:szCs w:val="22"/>
        </w:rPr>
        <w:t>; use ACS style without title</w:t>
      </w:r>
      <w:r w:rsidR="007E436B">
        <w:rPr>
          <w:rFonts w:ascii="Arial" w:hAnsi="Arial" w:cs="Arial"/>
          <w:color w:val="FF0000"/>
          <w:sz w:val="22"/>
          <w:szCs w:val="22"/>
        </w:rPr>
        <w:t xml:space="preserve"> –give only the first page number</w:t>
      </w:r>
      <w:r w:rsidR="00A20E33" w:rsidRPr="00A20E33">
        <w:rPr>
          <w:rFonts w:ascii="Arial" w:hAnsi="Arial" w:cs="Arial"/>
          <w:color w:val="FF0000"/>
          <w:sz w:val="22"/>
          <w:szCs w:val="22"/>
        </w:rPr>
        <w:t>]</w:t>
      </w:r>
      <w:r w:rsidR="00A20E33">
        <w:rPr>
          <w:rFonts w:ascii="Arial" w:hAnsi="Arial" w:cs="Arial"/>
          <w:color w:val="000000"/>
          <w:sz w:val="22"/>
          <w:szCs w:val="22"/>
        </w:rPr>
        <w:t xml:space="preserve"> </w:t>
      </w:r>
      <w:r w:rsidR="00A20E33" w:rsidRPr="00197750">
        <w:rPr>
          <w:rFonts w:ascii="Arial" w:hAnsi="Arial" w:cs="Arial"/>
          <w:b/>
          <w:color w:val="000000"/>
          <w:sz w:val="22"/>
          <w:szCs w:val="22"/>
          <w:lang w:val="en-US"/>
        </w:rPr>
        <w:t>References:</w:t>
      </w:r>
    </w:p>
    <w:p w:rsidR="006F7CCC" w:rsidRPr="006F7CCC" w:rsidRDefault="006F7CCC" w:rsidP="006F7CCC">
      <w:pPr>
        <w:pStyle w:val="EndNoteBibliography"/>
        <w:ind w:left="284" w:hanging="284"/>
        <w:jc w:val="both"/>
        <w:rPr>
          <w:rFonts w:ascii="Arial" w:hAnsi="Arial" w:cs="Arial"/>
          <w:color w:val="000000" w:themeColor="text1"/>
          <w:sz w:val="22"/>
          <w:szCs w:val="22"/>
          <w:lang w:val="de-AT"/>
        </w:rPr>
      </w:pPr>
      <w:r w:rsidRPr="006F7CCC">
        <w:rPr>
          <w:rFonts w:ascii="Arial" w:hAnsi="Arial" w:cs="Arial"/>
          <w:color w:val="000000" w:themeColor="text1"/>
          <w:sz w:val="22"/>
          <w:szCs w:val="22"/>
          <w:lang w:val="de-AT"/>
        </w:rPr>
        <w:t>1</w:t>
      </w:r>
      <w:r w:rsidRPr="006F7CCC">
        <w:rPr>
          <w:rFonts w:ascii="Arial" w:hAnsi="Arial" w:cs="Arial"/>
          <w:color w:val="000000" w:themeColor="text1"/>
          <w:sz w:val="22"/>
          <w:szCs w:val="22"/>
          <w:lang w:val="de-AT"/>
        </w:rPr>
        <w:tab/>
      </w:r>
      <w:r w:rsidRPr="006F7CCC">
        <w:rPr>
          <w:rFonts w:ascii="Arial" w:hAnsi="Arial" w:cs="Arial"/>
          <w:sz w:val="22"/>
          <w:szCs w:val="22"/>
          <w:lang w:val="de-AT"/>
        </w:rPr>
        <w:t xml:space="preserve">Ratzenböck, K.; Fischer, S. M.; Slugovc, C. </w:t>
      </w:r>
      <w:r w:rsidRPr="006F7CCC">
        <w:rPr>
          <w:rStyle w:val="Hervorhebung"/>
          <w:rFonts w:ascii="Arial" w:hAnsi="Arial" w:cs="Arial"/>
          <w:sz w:val="22"/>
          <w:szCs w:val="22"/>
          <w:lang w:val="de-AT"/>
        </w:rPr>
        <w:t xml:space="preserve">Monatsh. </w:t>
      </w:r>
      <w:r w:rsidRPr="00316BA4">
        <w:rPr>
          <w:rStyle w:val="Hervorhebung"/>
          <w:rFonts w:ascii="Arial" w:hAnsi="Arial" w:cs="Arial"/>
          <w:sz w:val="22"/>
          <w:szCs w:val="22"/>
          <w:lang w:val="de-AT"/>
        </w:rPr>
        <w:t>Chem.</w:t>
      </w:r>
      <w:r w:rsidRPr="00316BA4">
        <w:rPr>
          <w:rFonts w:ascii="Arial" w:hAnsi="Arial" w:cs="Arial"/>
          <w:sz w:val="22"/>
          <w:szCs w:val="22"/>
          <w:lang w:val="de-AT"/>
        </w:rPr>
        <w:t xml:space="preserve"> </w:t>
      </w:r>
      <w:r w:rsidRPr="00316BA4">
        <w:rPr>
          <w:rStyle w:val="Fett"/>
          <w:rFonts w:ascii="Arial" w:hAnsi="Arial" w:cs="Arial"/>
          <w:sz w:val="22"/>
          <w:szCs w:val="22"/>
          <w:lang w:val="de-AT"/>
        </w:rPr>
        <w:t>2023</w:t>
      </w:r>
      <w:r w:rsidRPr="00316BA4">
        <w:rPr>
          <w:rFonts w:ascii="Arial" w:hAnsi="Arial" w:cs="Arial"/>
          <w:sz w:val="22"/>
          <w:szCs w:val="22"/>
          <w:lang w:val="de-AT"/>
        </w:rPr>
        <w:t xml:space="preserve">, </w:t>
      </w:r>
      <w:r w:rsidRPr="00316BA4">
        <w:rPr>
          <w:rStyle w:val="Hervorhebung"/>
          <w:rFonts w:ascii="Arial" w:hAnsi="Arial" w:cs="Arial"/>
          <w:sz w:val="22"/>
          <w:szCs w:val="22"/>
          <w:lang w:val="de-AT"/>
        </w:rPr>
        <w:t>154</w:t>
      </w:r>
      <w:r w:rsidR="00316BA4">
        <w:rPr>
          <w:rFonts w:ascii="Arial" w:hAnsi="Arial" w:cs="Arial"/>
          <w:sz w:val="22"/>
          <w:szCs w:val="22"/>
          <w:lang w:val="de-AT"/>
        </w:rPr>
        <w:t>, 443</w:t>
      </w:r>
      <w:r w:rsidRPr="00316BA4">
        <w:rPr>
          <w:rFonts w:ascii="Arial" w:hAnsi="Arial" w:cs="Arial"/>
          <w:sz w:val="22"/>
          <w:szCs w:val="22"/>
          <w:lang w:val="de-AT"/>
        </w:rPr>
        <w:t>.</w:t>
      </w:r>
    </w:p>
    <w:p w:rsidR="006F7CCC" w:rsidRPr="00316BA4" w:rsidRDefault="006F7CCC" w:rsidP="006F7CCC">
      <w:pPr>
        <w:pStyle w:val="EndNoteBibliography"/>
        <w:ind w:left="284" w:hanging="284"/>
        <w:jc w:val="both"/>
        <w:rPr>
          <w:rFonts w:ascii="Arial" w:hAnsi="Arial" w:cs="Arial"/>
          <w:color w:val="000000" w:themeColor="text1"/>
          <w:sz w:val="22"/>
          <w:szCs w:val="22"/>
          <w:lang w:val="de-AT"/>
        </w:rPr>
      </w:pPr>
      <w:r w:rsidRPr="00316BA4">
        <w:rPr>
          <w:rFonts w:ascii="Arial" w:hAnsi="Arial" w:cs="Arial"/>
          <w:color w:val="000000" w:themeColor="text1"/>
          <w:sz w:val="22"/>
          <w:szCs w:val="22"/>
          <w:lang w:val="de-AT"/>
        </w:rPr>
        <w:t>2</w:t>
      </w:r>
      <w:r w:rsidRPr="00316BA4">
        <w:rPr>
          <w:rFonts w:ascii="Arial" w:hAnsi="Arial" w:cs="Arial"/>
          <w:color w:val="000000" w:themeColor="text1"/>
          <w:sz w:val="22"/>
          <w:szCs w:val="22"/>
          <w:lang w:val="de-AT"/>
        </w:rPr>
        <w:tab/>
      </w:r>
      <w:r w:rsidR="00316BA4" w:rsidRPr="00316BA4">
        <w:rPr>
          <w:rFonts w:ascii="Arial" w:hAnsi="Arial" w:cs="Arial"/>
          <w:sz w:val="22"/>
          <w:szCs w:val="22"/>
          <w:lang w:val="de-AT"/>
        </w:rPr>
        <w:t xml:space="preserve">Fischer, S. M.; Kaschnitz, P.; Slugovc, C. </w:t>
      </w:r>
      <w:r w:rsidR="00316BA4" w:rsidRPr="00316BA4">
        <w:rPr>
          <w:rStyle w:val="Hervorhebung"/>
          <w:rFonts w:ascii="Arial" w:hAnsi="Arial" w:cs="Arial"/>
          <w:sz w:val="22"/>
          <w:szCs w:val="22"/>
          <w:lang w:val="de-AT"/>
        </w:rPr>
        <w:t>Catal. Sci. Technol.</w:t>
      </w:r>
      <w:r w:rsidR="00316BA4" w:rsidRPr="00316BA4">
        <w:rPr>
          <w:rFonts w:ascii="Arial" w:hAnsi="Arial" w:cs="Arial"/>
          <w:sz w:val="22"/>
          <w:szCs w:val="22"/>
          <w:lang w:val="de-AT"/>
        </w:rPr>
        <w:t xml:space="preserve"> </w:t>
      </w:r>
      <w:r w:rsidR="00316BA4" w:rsidRPr="00316BA4">
        <w:rPr>
          <w:rStyle w:val="Fett"/>
          <w:rFonts w:ascii="Arial" w:hAnsi="Arial" w:cs="Arial"/>
          <w:sz w:val="22"/>
          <w:szCs w:val="22"/>
          <w:lang w:val="de-AT"/>
        </w:rPr>
        <w:t>2022</w:t>
      </w:r>
      <w:r w:rsidR="00316BA4" w:rsidRPr="00316BA4">
        <w:rPr>
          <w:rFonts w:ascii="Arial" w:hAnsi="Arial" w:cs="Arial"/>
          <w:sz w:val="22"/>
          <w:szCs w:val="22"/>
          <w:lang w:val="de-AT"/>
        </w:rPr>
        <w:t xml:space="preserve">, </w:t>
      </w:r>
      <w:r w:rsidR="00316BA4" w:rsidRPr="00316BA4">
        <w:rPr>
          <w:rStyle w:val="Hervorhebung"/>
          <w:rFonts w:ascii="Arial" w:hAnsi="Arial" w:cs="Arial"/>
          <w:sz w:val="22"/>
          <w:szCs w:val="22"/>
          <w:lang w:val="de-AT"/>
        </w:rPr>
        <w:t>12</w:t>
      </w:r>
      <w:r w:rsidR="00316BA4">
        <w:rPr>
          <w:rFonts w:ascii="Arial" w:hAnsi="Arial" w:cs="Arial"/>
          <w:sz w:val="22"/>
          <w:szCs w:val="22"/>
          <w:lang w:val="de-AT"/>
        </w:rPr>
        <w:t>, 6204</w:t>
      </w:r>
      <w:r w:rsidR="00316BA4" w:rsidRPr="00316BA4">
        <w:rPr>
          <w:rFonts w:ascii="Arial" w:hAnsi="Arial" w:cs="Arial"/>
          <w:sz w:val="22"/>
          <w:szCs w:val="22"/>
          <w:lang w:val="de-AT"/>
        </w:rPr>
        <w:t>.</w:t>
      </w:r>
    </w:p>
    <w:p w:rsidR="00E0249B" w:rsidRPr="00316BA4" w:rsidRDefault="006F7CCC" w:rsidP="00316BA4">
      <w:pPr>
        <w:pStyle w:val="EndNoteBibliography"/>
        <w:ind w:left="284" w:hanging="284"/>
        <w:jc w:val="both"/>
        <w:rPr>
          <w:rFonts w:ascii="Arial" w:hAnsi="Arial" w:cs="Arial"/>
          <w:color w:val="000000" w:themeColor="text1"/>
          <w:sz w:val="22"/>
          <w:szCs w:val="22"/>
          <w:lang w:val="de-AT"/>
        </w:rPr>
      </w:pPr>
      <w:r w:rsidRPr="00316BA4">
        <w:rPr>
          <w:rFonts w:ascii="Arial" w:hAnsi="Arial" w:cs="Arial"/>
          <w:color w:val="000000" w:themeColor="text1"/>
          <w:sz w:val="22"/>
          <w:szCs w:val="22"/>
          <w:lang w:val="de-AT"/>
        </w:rPr>
        <w:t>3</w:t>
      </w:r>
      <w:r w:rsidRPr="00316BA4">
        <w:rPr>
          <w:rFonts w:ascii="Arial" w:hAnsi="Arial" w:cs="Arial"/>
          <w:color w:val="000000" w:themeColor="text1"/>
          <w:sz w:val="22"/>
          <w:szCs w:val="22"/>
          <w:lang w:val="de-AT"/>
        </w:rPr>
        <w:tab/>
      </w:r>
      <w:r w:rsidR="00316BA4" w:rsidRPr="00316BA4">
        <w:rPr>
          <w:rFonts w:ascii="Arial" w:hAnsi="Arial" w:cs="Arial"/>
          <w:sz w:val="22"/>
          <w:szCs w:val="22"/>
          <w:lang w:val="de-AT"/>
        </w:rPr>
        <w:t xml:space="preserve">Fischer, S. M.; Schallert, V.; Uher, J. M.; Slugovc, C. </w:t>
      </w:r>
      <w:r w:rsidR="00316BA4" w:rsidRPr="00316BA4">
        <w:rPr>
          <w:rStyle w:val="Hervorhebung"/>
          <w:rFonts w:ascii="Arial" w:hAnsi="Arial" w:cs="Arial"/>
          <w:sz w:val="22"/>
          <w:szCs w:val="22"/>
          <w:lang w:val="de-AT"/>
        </w:rPr>
        <w:t xml:space="preserve">Polym. </w:t>
      </w:r>
      <w:r w:rsidR="00316BA4" w:rsidRPr="00316BA4">
        <w:rPr>
          <w:rStyle w:val="Hervorhebung"/>
          <w:rFonts w:ascii="Arial" w:hAnsi="Arial" w:cs="Arial"/>
          <w:sz w:val="22"/>
          <w:szCs w:val="22"/>
        </w:rPr>
        <w:t>Chem.</w:t>
      </w:r>
      <w:r w:rsidR="00316BA4" w:rsidRPr="00316BA4">
        <w:rPr>
          <w:rFonts w:ascii="Arial" w:hAnsi="Arial" w:cs="Arial"/>
          <w:sz w:val="22"/>
          <w:szCs w:val="22"/>
        </w:rPr>
        <w:t xml:space="preserve"> </w:t>
      </w:r>
      <w:r w:rsidR="00316BA4" w:rsidRPr="00316BA4">
        <w:rPr>
          <w:rStyle w:val="Fett"/>
          <w:rFonts w:ascii="Arial" w:hAnsi="Arial" w:cs="Arial"/>
          <w:sz w:val="22"/>
          <w:szCs w:val="22"/>
        </w:rPr>
        <w:t>2023</w:t>
      </w:r>
      <w:r w:rsidR="00316BA4" w:rsidRPr="00316BA4">
        <w:rPr>
          <w:rFonts w:ascii="Arial" w:hAnsi="Arial" w:cs="Arial"/>
          <w:sz w:val="22"/>
          <w:szCs w:val="22"/>
        </w:rPr>
        <w:t xml:space="preserve">, </w:t>
      </w:r>
      <w:r w:rsidR="00316BA4" w:rsidRPr="00316BA4">
        <w:rPr>
          <w:rStyle w:val="Hervorhebung"/>
          <w:rFonts w:ascii="Arial" w:hAnsi="Arial" w:cs="Arial"/>
          <w:sz w:val="22"/>
          <w:szCs w:val="22"/>
        </w:rPr>
        <w:t>14</w:t>
      </w:r>
      <w:r w:rsidR="00316BA4" w:rsidRPr="00316BA4">
        <w:rPr>
          <w:rFonts w:ascii="Arial" w:hAnsi="Arial" w:cs="Arial"/>
          <w:sz w:val="22"/>
          <w:szCs w:val="22"/>
        </w:rPr>
        <w:t>, 1081</w:t>
      </w:r>
      <w:r w:rsidR="00B3718B">
        <w:rPr>
          <w:rFonts w:ascii="Arial" w:hAnsi="Arial" w:cs="Arial"/>
          <w:sz w:val="22"/>
          <w:szCs w:val="22"/>
        </w:rPr>
        <w:t>.</w:t>
      </w:r>
    </w:p>
    <w:sectPr w:rsidR="00E0249B" w:rsidRPr="00316BA4" w:rsidSect="00510B19">
      <w:pgSz w:w="11901" w:h="16840" w:code="9"/>
      <w:pgMar w:top="1701" w:right="1134" w:bottom="1134" w:left="1418"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J Amer Chem Society&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p9psv2dlrz022eeev5vp5xspx0tw2pxaz9r&quot;&gt;BS Literatur Copy&lt;record-ids&gt;&lt;item&gt;10035&lt;/item&gt;&lt;item&gt;10726&lt;/item&gt;&lt;item&gt;12304&lt;/item&gt;&lt;item&gt;12417&lt;/item&gt;&lt;/record-ids&gt;&lt;/item&gt;&lt;/Libraries&gt;"/>
  </w:docVars>
  <w:rsids>
    <w:rsidRoot w:val="00510B19"/>
    <w:rsid w:val="00056CBE"/>
    <w:rsid w:val="0009532A"/>
    <w:rsid w:val="000C6396"/>
    <w:rsid w:val="00226972"/>
    <w:rsid w:val="00310D14"/>
    <w:rsid w:val="00316BA4"/>
    <w:rsid w:val="003F4C65"/>
    <w:rsid w:val="004C5E7D"/>
    <w:rsid w:val="00510B19"/>
    <w:rsid w:val="00565D35"/>
    <w:rsid w:val="006F7CCC"/>
    <w:rsid w:val="00713163"/>
    <w:rsid w:val="00793EFE"/>
    <w:rsid w:val="007C751D"/>
    <w:rsid w:val="007E436B"/>
    <w:rsid w:val="00850074"/>
    <w:rsid w:val="00996B91"/>
    <w:rsid w:val="00A20E33"/>
    <w:rsid w:val="00B13AC2"/>
    <w:rsid w:val="00B3718B"/>
    <w:rsid w:val="00C01FDD"/>
    <w:rsid w:val="00C777CC"/>
    <w:rsid w:val="00D2220B"/>
    <w:rsid w:val="00D5766A"/>
    <w:rsid w:val="00E0249B"/>
    <w:rsid w:val="00E35B96"/>
    <w:rsid w:val="00F271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16F5"/>
  <w15:docId w15:val="{7F407521-B800-4FE4-94A8-3AE87C16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line="360" w:lineRule="auto"/>
        <w:ind w:right="-1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0B19"/>
    <w:pPr>
      <w:spacing w:line="240" w:lineRule="auto"/>
      <w:ind w:right="0"/>
      <w:jc w:val="left"/>
    </w:pPr>
    <w:rPr>
      <w:rFonts w:ascii="Times" w:eastAsia="MS Mincho" w:hAnsi="Times" w:cs="Times New Roman"/>
      <w:sz w:val="24"/>
      <w:szCs w:val="20"/>
      <w:lang w:val="en-GB"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reprintHeading">
    <w:name w:val="Preprint Heading"/>
    <w:basedOn w:val="Standard"/>
    <w:rsid w:val="00510B19"/>
    <w:pPr>
      <w:jc w:val="both"/>
    </w:pPr>
    <w:rPr>
      <w:rFonts w:ascii="Times New Roman" w:eastAsia="Times New Roman" w:hAnsi="Times New Roman"/>
      <w:b/>
      <w:sz w:val="17"/>
      <w:lang w:val="en-US" w:eastAsia="en-US"/>
    </w:rPr>
  </w:style>
  <w:style w:type="paragraph" w:customStyle="1" w:styleId="PreprintBody">
    <w:name w:val="Preprint Body"/>
    <w:basedOn w:val="Standard"/>
    <w:link w:val="PreprintBodyZchn"/>
    <w:rsid w:val="00510B19"/>
    <w:pPr>
      <w:ind w:firstLine="360"/>
      <w:jc w:val="both"/>
    </w:pPr>
    <w:rPr>
      <w:rFonts w:ascii="Times New Roman" w:eastAsia="Times New Roman" w:hAnsi="Times New Roman"/>
      <w:sz w:val="16"/>
      <w:lang w:val="en-US" w:eastAsia="en-US"/>
    </w:rPr>
  </w:style>
  <w:style w:type="paragraph" w:styleId="Sprechblasentext">
    <w:name w:val="Balloon Text"/>
    <w:basedOn w:val="Standard"/>
    <w:link w:val="SprechblasentextZchn"/>
    <w:uiPriority w:val="99"/>
    <w:semiHidden/>
    <w:unhideWhenUsed/>
    <w:rsid w:val="00510B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0B19"/>
    <w:rPr>
      <w:rFonts w:ascii="Tahoma" w:eastAsia="MS Mincho" w:hAnsi="Tahoma" w:cs="Tahoma"/>
      <w:sz w:val="16"/>
      <w:szCs w:val="16"/>
      <w:lang w:val="en-GB" w:eastAsia="ja-JP"/>
    </w:rPr>
  </w:style>
  <w:style w:type="character" w:styleId="Hyperlink">
    <w:name w:val="Hyperlink"/>
    <w:basedOn w:val="Absatz-Standardschriftart"/>
    <w:uiPriority w:val="99"/>
    <w:unhideWhenUsed/>
    <w:rsid w:val="00056CBE"/>
    <w:rPr>
      <w:color w:val="0000FF" w:themeColor="hyperlink"/>
      <w:u w:val="single"/>
    </w:rPr>
  </w:style>
  <w:style w:type="paragraph" w:customStyle="1" w:styleId="EndNoteBibliographyTitle">
    <w:name w:val="EndNote Bibliography Title"/>
    <w:basedOn w:val="Standard"/>
    <w:link w:val="EndNoteBibliographyTitleZchn"/>
    <w:rsid w:val="000C6396"/>
    <w:pPr>
      <w:jc w:val="center"/>
    </w:pPr>
    <w:rPr>
      <w:rFonts w:cs="Times"/>
      <w:noProof/>
    </w:rPr>
  </w:style>
  <w:style w:type="character" w:customStyle="1" w:styleId="PreprintBodyZchn">
    <w:name w:val="Preprint Body Zchn"/>
    <w:basedOn w:val="Absatz-Standardschriftart"/>
    <w:link w:val="PreprintBody"/>
    <w:rsid w:val="000C6396"/>
    <w:rPr>
      <w:rFonts w:ascii="Times New Roman" w:eastAsia="Times New Roman" w:hAnsi="Times New Roman" w:cs="Times New Roman"/>
      <w:sz w:val="16"/>
      <w:szCs w:val="20"/>
      <w:lang w:val="en-US"/>
    </w:rPr>
  </w:style>
  <w:style w:type="character" w:customStyle="1" w:styleId="EndNoteBibliographyTitleZchn">
    <w:name w:val="EndNote Bibliography Title Zchn"/>
    <w:basedOn w:val="PreprintBodyZchn"/>
    <w:link w:val="EndNoteBibliographyTitle"/>
    <w:rsid w:val="000C6396"/>
    <w:rPr>
      <w:rFonts w:ascii="Times" w:eastAsia="MS Mincho" w:hAnsi="Times" w:cs="Times"/>
      <w:noProof/>
      <w:sz w:val="24"/>
      <w:szCs w:val="20"/>
      <w:lang w:val="en-GB" w:eastAsia="ja-JP"/>
    </w:rPr>
  </w:style>
  <w:style w:type="paragraph" w:customStyle="1" w:styleId="EndNoteBibliography">
    <w:name w:val="EndNote Bibliography"/>
    <w:basedOn w:val="Standard"/>
    <w:link w:val="EndNoteBibliographyZchn"/>
    <w:qFormat/>
    <w:rsid w:val="000C6396"/>
    <w:rPr>
      <w:rFonts w:cs="Times"/>
      <w:noProof/>
    </w:rPr>
  </w:style>
  <w:style w:type="character" w:customStyle="1" w:styleId="EndNoteBibliographyZchn">
    <w:name w:val="EndNote Bibliography Zchn"/>
    <w:basedOn w:val="PreprintBodyZchn"/>
    <w:link w:val="EndNoteBibliography"/>
    <w:qFormat/>
    <w:rsid w:val="000C6396"/>
    <w:rPr>
      <w:rFonts w:ascii="Times" w:eastAsia="MS Mincho" w:hAnsi="Times" w:cs="Times"/>
      <w:noProof/>
      <w:sz w:val="24"/>
      <w:szCs w:val="20"/>
      <w:lang w:val="en-GB" w:eastAsia="ja-JP"/>
    </w:rPr>
  </w:style>
  <w:style w:type="paragraph" w:styleId="StandardWeb">
    <w:name w:val="Normal (Web)"/>
    <w:basedOn w:val="Standard"/>
    <w:uiPriority w:val="99"/>
    <w:semiHidden/>
    <w:unhideWhenUsed/>
    <w:rsid w:val="00E0249B"/>
    <w:pPr>
      <w:spacing w:before="100" w:beforeAutospacing="1" w:after="100" w:afterAutospacing="1"/>
    </w:pPr>
    <w:rPr>
      <w:rFonts w:ascii="Times New Roman" w:eastAsia="Times New Roman" w:hAnsi="Times New Roman"/>
      <w:szCs w:val="24"/>
      <w:lang w:val="de-AT" w:eastAsia="de-AT"/>
    </w:rPr>
  </w:style>
  <w:style w:type="character" w:styleId="Hervorhebung">
    <w:name w:val="Emphasis"/>
    <w:basedOn w:val="Absatz-Standardschriftart"/>
    <w:uiPriority w:val="20"/>
    <w:qFormat/>
    <w:rsid w:val="00A20E33"/>
    <w:rPr>
      <w:i/>
      <w:iCs/>
    </w:rPr>
  </w:style>
  <w:style w:type="character" w:styleId="Fett">
    <w:name w:val="Strong"/>
    <w:basedOn w:val="Absatz-Standardschriftart"/>
    <w:uiPriority w:val="22"/>
    <w:qFormat/>
    <w:rsid w:val="00A20E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9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Slugovc</dc:creator>
  <cp:lastModifiedBy>Slugovc, Christian</cp:lastModifiedBy>
  <cp:revision>5</cp:revision>
  <dcterms:created xsi:type="dcterms:W3CDTF">2023-12-18T11:39:00Z</dcterms:created>
  <dcterms:modified xsi:type="dcterms:W3CDTF">2023-12-19T09:39:00Z</dcterms:modified>
</cp:coreProperties>
</file>